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C45C5">
      <w:pPr>
        <w:pStyle w:val="32"/>
        <w:spacing w:line="560" w:lineRule="exact"/>
        <w:ind w:left="640" w:firstLine="0" w:firstLineChars="0"/>
        <w:jc w:val="center"/>
        <w:rPr>
          <w:rFonts w:hint="eastAsia" w:ascii="楷体" w:hAnsi="楷体" w:eastAsia="楷体" w:cs="楷体"/>
          <w:b/>
          <w:bCs/>
          <w:color w:val="auto"/>
          <w:sz w:val="48"/>
          <w:szCs w:val="48"/>
          <w:lang w:val="en-US" w:eastAsia="zh-CN"/>
        </w:rPr>
      </w:pPr>
      <w:r>
        <w:rPr>
          <w:rFonts w:hint="eastAsia" w:ascii="楷体" w:hAnsi="楷体" w:eastAsia="楷体" w:cs="楷体"/>
          <w:b/>
          <w:bCs/>
          <w:color w:val="auto"/>
          <w:sz w:val="48"/>
          <w:szCs w:val="48"/>
          <w:lang w:val="en-US" w:eastAsia="zh-CN"/>
        </w:rPr>
        <w:t>采购需求</w:t>
      </w:r>
    </w:p>
    <w:p w14:paraId="552D52E2">
      <w:pPr>
        <w:pStyle w:val="9"/>
        <w:numPr>
          <w:ilvl w:val="0"/>
          <w:numId w:val="0"/>
        </w:numPr>
        <w:tabs>
          <w:tab w:val="left" w:pos="540"/>
        </w:tabs>
        <w:snapToGrid w:val="0"/>
        <w:spacing w:line="360" w:lineRule="auto"/>
        <w:rPr>
          <w:rFonts w:hint="eastAsia" w:ascii="楷体" w:hAnsi="楷体" w:eastAsia="楷体" w:cs="楷体"/>
          <w:b/>
          <w:color w:val="auto"/>
          <w:sz w:val="30"/>
          <w:szCs w:val="30"/>
        </w:rPr>
      </w:pPr>
      <w:r>
        <w:rPr>
          <w:rFonts w:hint="eastAsia" w:ascii="宋体" w:hAnsi="宋体" w:eastAsia="宋体" w:cs="Courier New"/>
          <w:b/>
          <w:color w:val="auto"/>
          <w:kern w:val="0"/>
          <w:sz w:val="30"/>
          <w:szCs w:val="30"/>
          <w:lang w:val="en-US" w:eastAsia="zh-CN" w:bidi="ar-SA"/>
        </w:rPr>
        <w:t>一、</w:t>
      </w:r>
      <w:r>
        <w:rPr>
          <w:rFonts w:hint="eastAsia" w:ascii="楷体" w:hAnsi="楷体" w:eastAsia="楷体" w:cs="楷体"/>
          <w:b/>
          <w:color w:val="auto"/>
          <w:sz w:val="30"/>
          <w:szCs w:val="30"/>
        </w:rPr>
        <w:t>项目总体要求</w:t>
      </w:r>
    </w:p>
    <w:p w14:paraId="46D18A68">
      <w:pPr>
        <w:pStyle w:val="62"/>
        <w:adjustRightInd w:val="0"/>
        <w:snapToGrid w:val="0"/>
        <w:spacing w:line="360" w:lineRule="auto"/>
        <w:ind w:firstLine="600" w:firstLineChars="200"/>
        <w:rPr>
          <w:rFonts w:hint="eastAsia" w:ascii="楷体" w:hAnsi="楷体" w:eastAsia="楷体" w:cs="楷体"/>
          <w:color w:val="auto"/>
          <w:sz w:val="30"/>
          <w:szCs w:val="30"/>
          <w:lang w:val="zh-CN" w:eastAsia="zh-CN"/>
        </w:rPr>
      </w:pPr>
      <w:r>
        <w:rPr>
          <w:rFonts w:hint="eastAsia" w:ascii="楷体" w:hAnsi="楷体" w:eastAsia="楷体" w:cs="楷体"/>
          <w:color w:val="auto"/>
          <w:sz w:val="30"/>
          <w:szCs w:val="30"/>
          <w:lang w:eastAsia="zh-CN"/>
        </w:rPr>
        <w:t>本项目服务地理上覆盖北院区、南院区、花都院区、南校园门诊部、生物岛实验室及南海精准免疫转化创新中心，维护服务内容包括但不限于</w:t>
      </w:r>
      <w:r>
        <w:rPr>
          <w:rFonts w:hint="eastAsia" w:ascii="楷体" w:hAnsi="楷体" w:eastAsia="楷体" w:cs="楷体"/>
          <w:color w:val="auto"/>
          <w:sz w:val="30"/>
          <w:szCs w:val="30"/>
          <w:lang w:val="zh-CN" w:eastAsia="zh-CN"/>
        </w:rPr>
        <w:t>计算机、打印机等桌面终端设备硬件及应用的巡检及维护，协助院内重大信息系统专项升级保障、协助院视频会议保障等服务。</w:t>
      </w:r>
    </w:p>
    <w:p w14:paraId="6FB79D9B">
      <w:pPr>
        <w:pStyle w:val="63"/>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w:t>
      </w:r>
      <w:r>
        <w:rPr>
          <w:rFonts w:hint="eastAsia" w:ascii="楷体" w:hAnsi="楷体" w:eastAsia="楷体" w:cs="楷体"/>
          <w:color w:val="auto"/>
          <w:sz w:val="30"/>
          <w:szCs w:val="30"/>
        </w:rPr>
        <w:t>投标</w:t>
      </w:r>
      <w:r>
        <w:rPr>
          <w:rFonts w:hint="eastAsia" w:ascii="楷体" w:hAnsi="楷体" w:eastAsia="楷体" w:cs="楷体"/>
          <w:color w:val="auto"/>
          <w:sz w:val="30"/>
          <w:szCs w:val="30"/>
          <w:lang w:val="zh-CN"/>
        </w:rPr>
        <w:t>报价中需包含本需求书中列出的所有工作内容，以及其他的配套工作。</w:t>
      </w:r>
    </w:p>
    <w:p w14:paraId="72263DBD">
      <w:pPr>
        <w:pStyle w:val="63"/>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w:t>
      </w:r>
      <w:r>
        <w:rPr>
          <w:rFonts w:hint="eastAsia" w:ascii="楷体" w:hAnsi="楷体" w:eastAsia="楷体" w:cs="楷体"/>
          <w:color w:val="auto"/>
          <w:sz w:val="30"/>
          <w:szCs w:val="30"/>
        </w:rPr>
        <w:t>投标</w:t>
      </w:r>
      <w:r>
        <w:rPr>
          <w:rFonts w:hint="eastAsia" w:ascii="楷体" w:hAnsi="楷体" w:eastAsia="楷体" w:cs="楷体"/>
          <w:color w:val="auto"/>
          <w:sz w:val="30"/>
          <w:szCs w:val="30"/>
          <w:lang w:val="zh-CN"/>
        </w:rPr>
        <w:t>报价必须包含的费用有：人员费用（工资、福利、社保、劳保等）、装备、管理费用、利润、合同包含的所有风险、责任等费用以及项目管理过程中的所有由投标人承担费用的总和以及国家规定的各项税费。</w:t>
      </w:r>
    </w:p>
    <w:p w14:paraId="401B745F">
      <w:pPr>
        <w:pStyle w:val="63"/>
        <w:tabs>
          <w:tab w:val="left" w:pos="1556"/>
        </w:tabs>
        <w:ind w:right="-53"/>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（3）投标人就设备、</w:t>
      </w:r>
      <w:r>
        <w:rPr>
          <w:rFonts w:hint="eastAsia" w:ascii="楷体" w:hAnsi="楷体" w:eastAsia="楷体" w:cs="楷体"/>
          <w:color w:val="auto"/>
          <w:sz w:val="30"/>
          <w:szCs w:val="30"/>
        </w:rPr>
        <w:t>系统软件等</w:t>
      </w:r>
      <w:r>
        <w:rPr>
          <w:rFonts w:hint="eastAsia" w:ascii="楷体" w:hAnsi="楷体" w:eastAsia="楷体" w:cs="楷体"/>
          <w:color w:val="auto"/>
          <w:sz w:val="30"/>
          <w:szCs w:val="30"/>
          <w:lang w:val="zh-CN"/>
        </w:rPr>
        <w:t>维护服务须安排驻场项目主管及技术工程师服务团队不少于</w:t>
      </w:r>
      <w:r>
        <w:rPr>
          <w:rFonts w:ascii="楷体" w:hAnsi="楷体" w:eastAsia="楷体" w:cs="楷体"/>
          <w:color w:val="auto"/>
          <w:sz w:val="30"/>
          <w:szCs w:val="30"/>
          <w:lang w:val="zh-CN"/>
        </w:rPr>
        <w:t>18</w:t>
      </w:r>
      <w:r>
        <w:rPr>
          <w:rFonts w:hint="eastAsia" w:ascii="楷体" w:hAnsi="楷体" w:eastAsia="楷体" w:cs="楷体"/>
          <w:color w:val="auto"/>
          <w:sz w:val="30"/>
          <w:szCs w:val="30"/>
          <w:lang w:val="zh-CN"/>
        </w:rPr>
        <w:t>人。</w:t>
      </w:r>
    </w:p>
    <w:p w14:paraId="784C2BF6">
      <w:pPr>
        <w:pStyle w:val="63"/>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（4）投标人必须承诺按规定与所有派驻采购人的正式员工签定劳动合同和保密协议，服务团队所有人员薪酬均由投标人支付（需提供承诺函并加盖响应人公章，格式自拟）。</w:t>
      </w:r>
      <w:bookmarkStart w:id="0" w:name="_Toc530088676"/>
      <w:bookmarkStart w:id="1" w:name="_Toc503255354"/>
      <w:bookmarkStart w:id="2" w:name="_Toc11473"/>
      <w:bookmarkStart w:id="3" w:name="_Toc18172"/>
    </w:p>
    <w:p w14:paraId="1D3F7933">
      <w:pPr>
        <w:snapToGrid w:val="0"/>
        <w:spacing w:line="360" w:lineRule="auto"/>
        <w:ind w:firstLine="600" w:firstLineChars="200"/>
        <w:rPr>
          <w:rFonts w:hint="eastAsia" w:ascii="楷体" w:hAnsi="楷体" w:eastAsia="楷体" w:cs="楷体"/>
          <w:color w:val="auto"/>
          <w:sz w:val="30"/>
          <w:szCs w:val="30"/>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w:t>
      </w:r>
      <w:r>
        <w:rPr>
          <w:rFonts w:hint="eastAsia" w:ascii="楷体" w:hAnsi="楷体" w:eastAsia="楷体" w:cs="楷体"/>
          <w:snapToGrid w:val="0"/>
          <w:color w:val="auto"/>
          <w:sz w:val="30"/>
          <w:szCs w:val="30"/>
        </w:rPr>
        <w:t>本项目维护服务期限为</w:t>
      </w:r>
      <w:r>
        <w:rPr>
          <w:rFonts w:hint="eastAsia" w:ascii="楷体" w:hAnsi="楷体" w:eastAsia="楷体" w:cs="楷体"/>
          <w:color w:val="auto"/>
          <w:sz w:val="30"/>
          <w:szCs w:val="30"/>
          <w:u w:val="single"/>
        </w:rPr>
        <w:t>自合同生效之日起一年</w:t>
      </w:r>
      <w:r>
        <w:rPr>
          <w:rFonts w:hint="eastAsia" w:ascii="楷体" w:hAnsi="楷体" w:eastAsia="楷体" w:cs="楷体"/>
          <w:snapToGrid w:val="0"/>
          <w:color w:val="auto"/>
          <w:sz w:val="30"/>
          <w:szCs w:val="30"/>
        </w:rPr>
        <w:t>。</w:t>
      </w:r>
    </w:p>
    <w:bookmarkEnd w:id="0"/>
    <w:bookmarkEnd w:id="1"/>
    <w:bookmarkEnd w:id="2"/>
    <w:bookmarkEnd w:id="3"/>
    <w:p w14:paraId="271964AF">
      <w:pPr>
        <w:pStyle w:val="9"/>
        <w:numPr>
          <w:ilvl w:val="0"/>
          <w:numId w:val="0"/>
        </w:numPr>
        <w:tabs>
          <w:tab w:val="left" w:pos="540"/>
        </w:tabs>
        <w:snapToGrid w:val="0"/>
        <w:spacing w:line="360" w:lineRule="auto"/>
        <w:rPr>
          <w:rFonts w:hint="eastAsia" w:ascii="楷体" w:hAnsi="楷体" w:eastAsia="楷体" w:cs="楷体"/>
          <w:b/>
          <w:color w:val="auto"/>
          <w:sz w:val="30"/>
          <w:szCs w:val="30"/>
        </w:rPr>
      </w:pPr>
      <w:r>
        <w:rPr>
          <w:rFonts w:hint="eastAsia" w:ascii="宋体" w:hAnsi="宋体" w:eastAsia="宋体" w:cs="Courier New"/>
          <w:b/>
          <w:color w:val="auto"/>
          <w:kern w:val="0"/>
          <w:sz w:val="30"/>
          <w:szCs w:val="30"/>
          <w:lang w:val="en-US" w:eastAsia="zh-CN" w:bidi="ar-SA"/>
        </w:rPr>
        <w:t>二、</w:t>
      </w:r>
      <w:r>
        <w:rPr>
          <w:rFonts w:hint="eastAsia" w:ascii="楷体" w:hAnsi="楷体" w:eastAsia="楷体" w:cs="楷体"/>
          <w:b/>
          <w:color w:val="auto"/>
          <w:sz w:val="30"/>
          <w:szCs w:val="30"/>
        </w:rPr>
        <w:t>服务要求</w:t>
      </w:r>
    </w:p>
    <w:p w14:paraId="1438482C">
      <w:pPr>
        <w:pStyle w:val="6"/>
        <w:spacing w:line="360" w:lineRule="auto"/>
        <w:rPr>
          <w:rFonts w:hint="eastAsia" w:ascii="楷体" w:hAnsi="楷体" w:eastAsia="楷体" w:cs="楷体"/>
          <w:color w:val="auto"/>
          <w:sz w:val="30"/>
          <w:szCs w:val="30"/>
          <w:lang w:val="zh-CN"/>
        </w:rPr>
      </w:pPr>
      <w:bookmarkStart w:id="4" w:name="_Toc16996"/>
      <w:r>
        <w:rPr>
          <w:rFonts w:hint="eastAsia" w:ascii="楷体" w:hAnsi="楷体" w:eastAsia="楷体" w:cs="楷体"/>
          <w:color w:val="auto"/>
          <w:sz w:val="30"/>
          <w:szCs w:val="30"/>
          <w:lang w:val="zh-CN"/>
        </w:rPr>
        <w:t>（一）维护服务主要区域</w:t>
      </w:r>
      <w:bookmarkEnd w:id="4"/>
    </w:p>
    <w:p w14:paraId="4E35751C">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lang w:val="zh-CN"/>
        </w:rPr>
        <w:t>本项目服务地点</w:t>
      </w:r>
      <w:r>
        <w:rPr>
          <w:rFonts w:hint="eastAsia" w:ascii="楷体" w:hAnsi="楷体" w:eastAsia="楷体" w:cs="楷体"/>
          <w:color w:val="auto"/>
          <w:sz w:val="30"/>
          <w:szCs w:val="30"/>
        </w:rPr>
        <w:t>为</w:t>
      </w:r>
      <w:r>
        <w:rPr>
          <w:rFonts w:hint="eastAsia" w:ascii="楷体" w:hAnsi="楷体" w:eastAsia="楷体" w:cs="楷体"/>
          <w:color w:val="auto"/>
          <w:sz w:val="30"/>
          <w:szCs w:val="30"/>
          <w:lang w:val="zh-CN"/>
        </w:rPr>
        <w:t>中山大学孙逸仙纪念医院，包括但不限于</w:t>
      </w:r>
      <w:r>
        <w:rPr>
          <w:rFonts w:hint="eastAsia" w:ascii="楷体" w:hAnsi="楷体" w:eastAsia="楷体" w:cs="楷体"/>
          <w:color w:val="auto"/>
          <w:sz w:val="30"/>
          <w:szCs w:val="30"/>
        </w:rPr>
        <w:t>北院区</w:t>
      </w:r>
      <w:r>
        <w:rPr>
          <w:rFonts w:hint="eastAsia" w:ascii="楷体" w:hAnsi="楷体" w:eastAsia="楷体" w:cs="楷体"/>
          <w:color w:val="auto"/>
          <w:sz w:val="30"/>
          <w:szCs w:val="30"/>
          <w:lang w:val="zh-CN"/>
        </w:rPr>
        <w:t>、南院区、南校园门诊部、生物岛实验室</w:t>
      </w:r>
      <w:r>
        <w:rPr>
          <w:rFonts w:hint="eastAsia" w:ascii="楷体" w:hAnsi="楷体" w:eastAsia="楷体" w:cs="楷体"/>
          <w:color w:val="auto"/>
          <w:sz w:val="30"/>
          <w:szCs w:val="30"/>
        </w:rPr>
        <w:t xml:space="preserve">及南海精准免疫转化创新中心。具体见下表： </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1"/>
        <w:gridCol w:w="5318"/>
      </w:tblGrid>
      <w:tr w14:paraId="1A3D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1" w:type="dxa"/>
            <w:tcBorders>
              <w:top w:val="single" w:color="auto" w:sz="4" w:space="0"/>
              <w:left w:val="single" w:color="auto" w:sz="4" w:space="0"/>
              <w:bottom w:val="single" w:color="auto" w:sz="4" w:space="0"/>
              <w:right w:val="single" w:color="auto" w:sz="4" w:space="0"/>
            </w:tcBorders>
          </w:tcPr>
          <w:p w14:paraId="73DA84B1">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rPr>
              <w:t>服务地点</w:t>
            </w:r>
          </w:p>
        </w:tc>
        <w:tc>
          <w:tcPr>
            <w:tcW w:w="5318" w:type="dxa"/>
            <w:tcBorders>
              <w:top w:val="single" w:color="auto" w:sz="4" w:space="0"/>
              <w:left w:val="single" w:color="auto" w:sz="4" w:space="0"/>
              <w:bottom w:val="single" w:color="auto" w:sz="4" w:space="0"/>
              <w:right w:val="single" w:color="auto" w:sz="4" w:space="0"/>
            </w:tcBorders>
          </w:tcPr>
          <w:p w14:paraId="21216C1E">
            <w:pPr>
              <w:widowControl/>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具体地址</w:t>
            </w:r>
          </w:p>
        </w:tc>
      </w:tr>
      <w:tr w14:paraId="583E0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1" w:type="dxa"/>
            <w:tcBorders>
              <w:top w:val="single" w:color="auto" w:sz="4" w:space="0"/>
              <w:left w:val="single" w:color="auto" w:sz="4" w:space="0"/>
              <w:bottom w:val="single" w:color="auto" w:sz="4" w:space="0"/>
              <w:right w:val="single" w:color="auto" w:sz="4" w:space="0"/>
            </w:tcBorders>
          </w:tcPr>
          <w:p w14:paraId="47016E06">
            <w:pPr>
              <w:widowControl/>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北院区</w:t>
            </w:r>
          </w:p>
        </w:tc>
        <w:tc>
          <w:tcPr>
            <w:tcW w:w="5318" w:type="dxa"/>
            <w:tcBorders>
              <w:top w:val="single" w:color="auto" w:sz="4" w:space="0"/>
              <w:left w:val="single" w:color="auto" w:sz="4" w:space="0"/>
              <w:bottom w:val="single" w:color="auto" w:sz="4" w:space="0"/>
              <w:right w:val="single" w:color="auto" w:sz="4" w:space="0"/>
            </w:tcBorders>
          </w:tcPr>
          <w:p w14:paraId="1CE6AB15">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rPr>
              <w:t>广州市越秀区沿江西路107号</w:t>
            </w:r>
          </w:p>
        </w:tc>
      </w:tr>
      <w:tr w14:paraId="7F501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1" w:type="dxa"/>
            <w:tcBorders>
              <w:top w:val="single" w:color="auto" w:sz="4" w:space="0"/>
              <w:left w:val="single" w:color="auto" w:sz="4" w:space="0"/>
              <w:bottom w:val="single" w:color="auto" w:sz="4" w:space="0"/>
              <w:right w:val="single" w:color="auto" w:sz="4" w:space="0"/>
            </w:tcBorders>
          </w:tcPr>
          <w:p w14:paraId="5DEDC3C3">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rPr>
              <w:t>南院区</w:t>
            </w:r>
          </w:p>
        </w:tc>
        <w:tc>
          <w:tcPr>
            <w:tcW w:w="5318" w:type="dxa"/>
            <w:tcBorders>
              <w:top w:val="single" w:color="auto" w:sz="4" w:space="0"/>
              <w:left w:val="single" w:color="auto" w:sz="4" w:space="0"/>
              <w:bottom w:val="single" w:color="auto" w:sz="4" w:space="0"/>
              <w:right w:val="single" w:color="auto" w:sz="4" w:space="0"/>
            </w:tcBorders>
          </w:tcPr>
          <w:p w14:paraId="057BF419">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rPr>
              <w:t>广州市海珠区盈丰路33号</w:t>
            </w:r>
          </w:p>
        </w:tc>
      </w:tr>
      <w:tr w14:paraId="60BD0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1" w:type="dxa"/>
            <w:tcBorders>
              <w:top w:val="single" w:color="auto" w:sz="4" w:space="0"/>
              <w:left w:val="single" w:color="auto" w:sz="4" w:space="0"/>
              <w:bottom w:val="single" w:color="auto" w:sz="4" w:space="0"/>
              <w:right w:val="single" w:color="auto" w:sz="4" w:space="0"/>
            </w:tcBorders>
          </w:tcPr>
          <w:p w14:paraId="4910DCB6">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rPr>
              <w:t>花都院区</w:t>
            </w:r>
          </w:p>
        </w:tc>
        <w:tc>
          <w:tcPr>
            <w:tcW w:w="5318" w:type="dxa"/>
            <w:tcBorders>
              <w:top w:val="single" w:color="auto" w:sz="4" w:space="0"/>
              <w:left w:val="single" w:color="auto" w:sz="4" w:space="0"/>
              <w:bottom w:val="single" w:color="auto" w:sz="4" w:space="0"/>
              <w:right w:val="single" w:color="auto" w:sz="4" w:space="0"/>
            </w:tcBorders>
          </w:tcPr>
          <w:p w14:paraId="26F00358">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rPr>
              <w:t>花都区镜湖大道1</w:t>
            </w:r>
            <w:r>
              <w:rPr>
                <w:rFonts w:ascii="楷体" w:hAnsi="楷体" w:eastAsia="楷体" w:cs="楷体"/>
                <w:color w:val="auto"/>
                <w:sz w:val="30"/>
                <w:szCs w:val="30"/>
              </w:rPr>
              <w:t>1</w:t>
            </w:r>
            <w:r>
              <w:rPr>
                <w:rFonts w:hint="eastAsia" w:ascii="楷体" w:hAnsi="楷体" w:eastAsia="楷体" w:cs="楷体"/>
                <w:color w:val="auto"/>
                <w:sz w:val="30"/>
                <w:szCs w:val="30"/>
              </w:rPr>
              <w:t>号</w:t>
            </w:r>
          </w:p>
        </w:tc>
      </w:tr>
      <w:tr w14:paraId="6B980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1" w:type="dxa"/>
            <w:tcBorders>
              <w:top w:val="single" w:color="auto" w:sz="4" w:space="0"/>
              <w:left w:val="single" w:color="auto" w:sz="4" w:space="0"/>
              <w:bottom w:val="single" w:color="auto" w:sz="4" w:space="0"/>
              <w:right w:val="single" w:color="auto" w:sz="4" w:space="0"/>
            </w:tcBorders>
          </w:tcPr>
          <w:p w14:paraId="3EB1FB4B">
            <w:pPr>
              <w:widowControl/>
              <w:jc w:val="left"/>
              <w:rPr>
                <w:rFonts w:hint="eastAsia" w:ascii="楷体" w:hAnsi="楷体" w:eastAsia="楷体" w:cs="楷体"/>
                <w:color w:val="auto"/>
                <w:sz w:val="30"/>
                <w:szCs w:val="30"/>
              </w:rPr>
            </w:pPr>
            <w:r>
              <w:rPr>
                <w:rFonts w:hint="eastAsia" w:ascii="楷体" w:hAnsi="楷体" w:eastAsia="楷体" w:cs="楷体"/>
                <w:color w:val="auto"/>
                <w:sz w:val="30"/>
                <w:szCs w:val="30"/>
              </w:rPr>
              <w:t>南校园门诊部</w:t>
            </w:r>
          </w:p>
        </w:tc>
        <w:tc>
          <w:tcPr>
            <w:tcW w:w="5318" w:type="dxa"/>
            <w:tcBorders>
              <w:top w:val="single" w:color="auto" w:sz="4" w:space="0"/>
              <w:left w:val="single" w:color="auto" w:sz="4" w:space="0"/>
              <w:bottom w:val="single" w:color="auto" w:sz="4" w:space="0"/>
              <w:right w:val="single" w:color="auto" w:sz="4" w:space="0"/>
            </w:tcBorders>
          </w:tcPr>
          <w:p w14:paraId="4D02482F">
            <w:pPr>
              <w:widowControl/>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广州市海珠区新港西路135号</w:t>
            </w:r>
          </w:p>
        </w:tc>
      </w:tr>
      <w:tr w14:paraId="00BC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1" w:type="dxa"/>
            <w:tcBorders>
              <w:top w:val="single" w:color="auto" w:sz="4" w:space="0"/>
              <w:left w:val="single" w:color="auto" w:sz="4" w:space="0"/>
              <w:bottom w:val="single" w:color="auto" w:sz="4" w:space="0"/>
              <w:right w:val="single" w:color="auto" w:sz="4" w:space="0"/>
            </w:tcBorders>
          </w:tcPr>
          <w:p w14:paraId="42796716">
            <w:pPr>
              <w:widowControl/>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生物岛实验室</w:t>
            </w:r>
          </w:p>
        </w:tc>
        <w:tc>
          <w:tcPr>
            <w:tcW w:w="5318" w:type="dxa"/>
            <w:tcBorders>
              <w:top w:val="single" w:color="auto" w:sz="4" w:space="0"/>
              <w:left w:val="single" w:color="auto" w:sz="4" w:space="0"/>
              <w:bottom w:val="single" w:color="auto" w:sz="4" w:space="0"/>
              <w:right w:val="single" w:color="auto" w:sz="4" w:space="0"/>
            </w:tcBorders>
          </w:tcPr>
          <w:p w14:paraId="46748FC8">
            <w:pPr>
              <w:widowControl/>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广州市海珠区广州国际生物岛螺旋四路7号标准产业单元二期第3栋第3层301</w:t>
            </w:r>
          </w:p>
        </w:tc>
      </w:tr>
      <w:tr w14:paraId="2C188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1" w:type="dxa"/>
            <w:tcBorders>
              <w:top w:val="single" w:color="auto" w:sz="4" w:space="0"/>
              <w:left w:val="single" w:color="auto" w:sz="4" w:space="0"/>
              <w:bottom w:val="single" w:color="auto" w:sz="4" w:space="0"/>
              <w:right w:val="single" w:color="auto" w:sz="4" w:space="0"/>
            </w:tcBorders>
          </w:tcPr>
          <w:p w14:paraId="6658BAA4">
            <w:pPr>
              <w:widowControl/>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南海精准免疫转化创新中心</w:t>
            </w:r>
          </w:p>
        </w:tc>
        <w:tc>
          <w:tcPr>
            <w:tcW w:w="5318" w:type="dxa"/>
            <w:tcBorders>
              <w:top w:val="single" w:color="auto" w:sz="4" w:space="0"/>
              <w:left w:val="single" w:color="auto" w:sz="4" w:space="0"/>
              <w:bottom w:val="single" w:color="auto" w:sz="4" w:space="0"/>
              <w:right w:val="single" w:color="auto" w:sz="4" w:space="0"/>
            </w:tcBorders>
          </w:tcPr>
          <w:p w14:paraId="74FD14EB">
            <w:pPr>
              <w:widowControl/>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佛山市南海区石龙北路15号御堡国际1座、10座</w:t>
            </w:r>
          </w:p>
        </w:tc>
      </w:tr>
    </w:tbl>
    <w:p w14:paraId="438899DE">
      <w:pPr>
        <w:pStyle w:val="6"/>
        <w:numPr>
          <w:ilvl w:val="0"/>
          <w:numId w:val="0"/>
        </w:numPr>
        <w:spacing w:line="360" w:lineRule="auto"/>
        <w:rPr>
          <w:rFonts w:hint="eastAsia" w:ascii="楷体" w:hAnsi="楷体" w:eastAsia="楷体" w:cs="楷体"/>
          <w:color w:val="auto"/>
          <w:sz w:val="30"/>
          <w:szCs w:val="30"/>
        </w:rPr>
      </w:pPr>
      <w:bookmarkStart w:id="5" w:name="_Toc26591"/>
      <w:r>
        <w:rPr>
          <w:rFonts w:hint="eastAsia" w:ascii="楷体" w:hAnsi="楷体" w:eastAsia="楷体" w:cs="楷体"/>
          <w:b/>
          <w:bCs/>
          <w:color w:val="auto"/>
          <w:kern w:val="2"/>
          <w:sz w:val="30"/>
          <w:szCs w:val="30"/>
          <w:lang w:val="en-US" w:eastAsia="zh-CN" w:bidi="ar-SA"/>
        </w:rPr>
        <w:t>（二）</w:t>
      </w:r>
      <w:r>
        <w:rPr>
          <w:rFonts w:hint="eastAsia" w:ascii="楷体" w:hAnsi="楷体" w:eastAsia="楷体" w:cs="楷体"/>
          <w:color w:val="auto"/>
          <w:sz w:val="30"/>
          <w:szCs w:val="30"/>
          <w:lang w:val="zh-CN"/>
        </w:rPr>
        <w:t>维护服务</w:t>
      </w:r>
      <w:r>
        <w:rPr>
          <w:rFonts w:hint="eastAsia" w:ascii="楷体" w:hAnsi="楷体" w:eastAsia="楷体" w:cs="楷体"/>
          <w:color w:val="auto"/>
          <w:sz w:val="30"/>
          <w:szCs w:val="30"/>
        </w:rPr>
        <w:t>内容</w:t>
      </w:r>
    </w:p>
    <w:p w14:paraId="6A83C3E5">
      <w:pPr>
        <w:numPr>
          <w:ilvl w:val="255"/>
          <w:numId w:val="0"/>
        </w:numPr>
        <w:spacing w:line="360" w:lineRule="auto"/>
        <w:ind w:firstLine="301" w:firstLineChars="100"/>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lang w:val="zh-CN"/>
        </w:rPr>
        <w:t>1、</w:t>
      </w:r>
      <w:r>
        <w:rPr>
          <w:rFonts w:hint="eastAsia" w:ascii="楷体" w:hAnsi="楷体" w:eastAsia="楷体" w:cs="楷体"/>
          <w:b/>
          <w:bCs/>
          <w:color w:val="auto"/>
          <w:sz w:val="30"/>
          <w:szCs w:val="30"/>
        </w:rPr>
        <w:t>需</w:t>
      </w:r>
      <w:r>
        <w:rPr>
          <w:rFonts w:hint="eastAsia" w:ascii="楷体" w:hAnsi="楷体" w:eastAsia="楷体" w:cs="楷体"/>
          <w:b/>
          <w:bCs/>
          <w:color w:val="auto"/>
          <w:sz w:val="30"/>
          <w:szCs w:val="30"/>
          <w:lang w:val="zh-CN"/>
        </w:rPr>
        <w:t>维护设备的</w:t>
      </w:r>
      <w:r>
        <w:rPr>
          <w:rFonts w:hint="eastAsia" w:ascii="楷体" w:hAnsi="楷体" w:eastAsia="楷体" w:cs="楷体"/>
          <w:b/>
          <w:bCs/>
          <w:color w:val="auto"/>
          <w:sz w:val="30"/>
          <w:szCs w:val="30"/>
        </w:rPr>
        <w:t>说明</w:t>
      </w:r>
    </w:p>
    <w:p w14:paraId="5BFF17C2">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（1）目前设备数量说明</w:t>
      </w:r>
    </w:p>
    <w:p w14:paraId="643F5912">
      <w:pPr>
        <w:pStyle w:val="64"/>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1）计算机数量</w:t>
      </w:r>
      <w:r>
        <w:rPr>
          <w:rFonts w:hint="eastAsia" w:ascii="楷体" w:hAnsi="楷体" w:eastAsia="楷体" w:cs="楷体"/>
          <w:color w:val="auto"/>
          <w:sz w:val="30"/>
          <w:szCs w:val="30"/>
        </w:rPr>
        <w:t>约</w:t>
      </w:r>
      <w:r>
        <w:rPr>
          <w:rFonts w:ascii="楷体" w:hAnsi="楷体" w:eastAsia="楷体" w:cs="楷体"/>
          <w:color w:val="auto"/>
          <w:sz w:val="30"/>
          <w:szCs w:val="30"/>
        </w:rPr>
        <w:t>60</w:t>
      </w:r>
      <w:r>
        <w:rPr>
          <w:rFonts w:hint="eastAsia" w:ascii="楷体" w:hAnsi="楷体" w:eastAsia="楷体" w:cs="楷体"/>
          <w:color w:val="auto"/>
          <w:sz w:val="30"/>
          <w:szCs w:val="30"/>
          <w:lang w:val="zh-CN"/>
        </w:rPr>
        <w:t>00台。</w:t>
      </w:r>
    </w:p>
    <w:p w14:paraId="6D490172">
      <w:pPr>
        <w:pStyle w:val="64"/>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2）打印机数量</w:t>
      </w:r>
      <w:r>
        <w:rPr>
          <w:rFonts w:hint="eastAsia" w:ascii="楷体" w:hAnsi="楷体" w:eastAsia="楷体" w:cs="楷体"/>
          <w:color w:val="auto"/>
          <w:sz w:val="30"/>
          <w:szCs w:val="30"/>
        </w:rPr>
        <w:t>约</w:t>
      </w:r>
      <w:r>
        <w:rPr>
          <w:rFonts w:ascii="楷体" w:hAnsi="楷体" w:eastAsia="楷体" w:cs="楷体"/>
          <w:color w:val="auto"/>
          <w:sz w:val="30"/>
          <w:szCs w:val="30"/>
          <w:lang w:val="zh-CN"/>
        </w:rPr>
        <w:t>30</w:t>
      </w:r>
      <w:r>
        <w:rPr>
          <w:rFonts w:hint="eastAsia" w:ascii="楷体" w:hAnsi="楷体" w:eastAsia="楷体" w:cs="楷体"/>
          <w:color w:val="auto"/>
          <w:sz w:val="30"/>
          <w:szCs w:val="30"/>
          <w:lang w:val="zh-CN"/>
        </w:rPr>
        <w:t>00台。</w:t>
      </w:r>
    </w:p>
    <w:p w14:paraId="24C96090">
      <w:pPr>
        <w:pStyle w:val="64"/>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3）显示器</w:t>
      </w:r>
      <w:r>
        <w:rPr>
          <w:rFonts w:hint="eastAsia" w:ascii="楷体" w:hAnsi="楷体" w:eastAsia="楷体" w:cs="楷体"/>
          <w:color w:val="auto"/>
          <w:sz w:val="30"/>
          <w:szCs w:val="30"/>
        </w:rPr>
        <w:t>约</w:t>
      </w:r>
      <w:r>
        <w:rPr>
          <w:rFonts w:hint="eastAsia" w:ascii="楷体" w:hAnsi="楷体" w:eastAsia="楷体" w:cs="楷体"/>
          <w:color w:val="auto"/>
          <w:sz w:val="30"/>
          <w:szCs w:val="30"/>
          <w:lang w:val="zh-CN"/>
        </w:rPr>
        <w:t>3800台。</w:t>
      </w:r>
    </w:p>
    <w:p w14:paraId="5C8A2863">
      <w:pPr>
        <w:pStyle w:val="64"/>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4）其他设备数量</w:t>
      </w:r>
      <w:r>
        <w:rPr>
          <w:rFonts w:hint="eastAsia" w:ascii="楷体" w:hAnsi="楷体" w:eastAsia="楷体" w:cs="楷体"/>
          <w:color w:val="auto"/>
          <w:sz w:val="30"/>
          <w:szCs w:val="30"/>
        </w:rPr>
        <w:t>约</w:t>
      </w:r>
      <w:r>
        <w:rPr>
          <w:rFonts w:hint="eastAsia" w:ascii="楷体" w:hAnsi="楷体" w:eastAsia="楷体" w:cs="楷体"/>
          <w:color w:val="auto"/>
          <w:sz w:val="30"/>
          <w:szCs w:val="30"/>
          <w:lang w:val="zh-CN"/>
        </w:rPr>
        <w:t>500台。</w:t>
      </w:r>
    </w:p>
    <w:p w14:paraId="7E4F128A">
      <w:pPr>
        <w:pStyle w:val="64"/>
        <w:spacing w:line="360" w:lineRule="auto"/>
        <w:ind w:firstLine="600"/>
        <w:rPr>
          <w:rFonts w:ascii="楷体" w:hAnsi="楷体" w:eastAsia="楷体" w:cs="楷体"/>
          <w:color w:val="auto"/>
          <w:sz w:val="30"/>
          <w:szCs w:val="30"/>
          <w:lang w:val="zh-CN"/>
        </w:rPr>
      </w:pPr>
      <w:r>
        <w:rPr>
          <w:rFonts w:hint="eastAsia" w:ascii="楷体" w:hAnsi="楷体" w:eastAsia="楷体" w:cs="楷体"/>
          <w:color w:val="auto"/>
          <w:sz w:val="30"/>
          <w:szCs w:val="30"/>
          <w:lang w:val="zh-CN"/>
        </w:rPr>
        <w:t>5）卫星时钟约1</w:t>
      </w:r>
      <w:r>
        <w:rPr>
          <w:rFonts w:ascii="楷体" w:hAnsi="楷体" w:eastAsia="楷体" w:cs="楷体"/>
          <w:color w:val="auto"/>
          <w:sz w:val="30"/>
          <w:szCs w:val="30"/>
          <w:lang w:val="zh-CN"/>
        </w:rPr>
        <w:t>00</w:t>
      </w:r>
      <w:r>
        <w:rPr>
          <w:rFonts w:hint="eastAsia" w:ascii="楷体" w:hAnsi="楷体" w:eastAsia="楷体" w:cs="楷体"/>
          <w:color w:val="auto"/>
          <w:sz w:val="30"/>
          <w:szCs w:val="30"/>
          <w:lang w:val="zh-CN"/>
        </w:rPr>
        <w:t>台。</w:t>
      </w:r>
    </w:p>
    <w:p w14:paraId="37A226FA">
      <w:pPr>
        <w:pStyle w:val="64"/>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6）宣传屏、广告机约200台。</w:t>
      </w:r>
    </w:p>
    <w:p w14:paraId="3B3C4105">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以上设备主要品牌包括但不限于戴尔、三星、联想、IBM、HP、得实、Epson、富士施乐、兄弟、佳能、松下等；部分设备在保修期。</w:t>
      </w:r>
    </w:p>
    <w:p w14:paraId="11973B9B">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（2）目前设备情况</w:t>
      </w:r>
    </w:p>
    <w:p w14:paraId="71D6542A">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1）随着医院规模的持续扩大，相应的设备数量也将持续增长。每年的增长率预计不会超过现有设备总数的5%，具体数量将根据实际增长情况进行调整。</w:t>
      </w:r>
    </w:p>
    <w:p w14:paraId="4667CB90">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）在本合同服务期内，采购人新购设备的终端硬件日常维护将包含在本项目的服务范围内。</w:t>
      </w:r>
    </w:p>
    <w:p w14:paraId="16F93A57">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）新购置的设备通常享有1-3年的维保服务期。若在维保服务期内，桌面设备出现供货商承诺负责的故障，则由桌面设备供货商负责处理。在必要时，中标人需协助采购人与设备供货商进行联系。</w:t>
      </w:r>
    </w:p>
    <w:p w14:paraId="723FEC13">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4）新设备的软硬件现场安装费用已包含在设备采购项目中。供货商负责现场安装或提供相关服务。若供货商无法提供现场服务，则由投标人代为提供，相关费用由供货商承担。如出现纠纷，将由智慧医院建设部进行协调解决。</w:t>
      </w:r>
    </w:p>
    <w:p w14:paraId="19509841">
      <w:pPr>
        <w:pStyle w:val="6"/>
        <w:spacing w:line="360" w:lineRule="auto"/>
        <w:ind w:firstLine="60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）投标人对以下设备进行维修、保养或更换零配件，1000元以下的不再另行收取任何费用，</w:t>
      </w:r>
      <w:r>
        <w:rPr>
          <w:rFonts w:hint="eastAsia" w:ascii="楷体" w:hAnsi="楷体" w:eastAsia="楷体" w:cs="楷体"/>
          <w:color w:val="auto"/>
          <w:sz w:val="30"/>
          <w:szCs w:val="30"/>
          <w:lang w:val="zh-CN"/>
        </w:rPr>
        <w:t>设备硬件维修时间一般不能超过3个工作日。无法维修的硬件，成交供应商应在5个工作日内为采购人更换新配件，特殊情况未能在响应时间内处理完成的，立即向采购人相关管理部门汇报。成交供应商无法解决服务范围内的故障或所需解决时间多于48小时的，采购人有权聘请第三方处理故障，由此产生的费用及责任由成交供应商承担</w:t>
      </w:r>
      <w:r>
        <w:rPr>
          <w:rFonts w:hint="eastAsia" w:ascii="楷体" w:hAnsi="楷体" w:eastAsia="楷体" w:cs="楷体"/>
          <w:color w:val="auto"/>
          <w:sz w:val="30"/>
          <w:szCs w:val="30"/>
          <w:lang w:val="zh-CN"/>
        </w:rPr>
        <w:t>。主要包括（需提供承诺函并加盖响应人公章，格式自拟）：</w:t>
      </w:r>
    </w:p>
    <w:tbl>
      <w:tblPr>
        <w:tblStyle w:val="18"/>
        <w:tblW w:w="92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39"/>
        <w:gridCol w:w="1511"/>
        <w:gridCol w:w="6498"/>
      </w:tblGrid>
      <w:tr w14:paraId="6B49C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 w:hRule="atLeast"/>
          <w:jc w:val="center"/>
        </w:trPr>
        <w:tc>
          <w:tcPr>
            <w:tcW w:w="2750" w:type="dxa"/>
            <w:gridSpan w:val="2"/>
            <w:tcBorders>
              <w:top w:val="single" w:color="auto" w:sz="12" w:space="0"/>
              <w:left w:val="single" w:color="auto" w:sz="12" w:space="0"/>
              <w:bottom w:val="single" w:color="auto" w:sz="6" w:space="0"/>
              <w:right w:val="single" w:color="auto" w:sz="6" w:space="0"/>
            </w:tcBorders>
            <w:vAlign w:val="center"/>
          </w:tcPr>
          <w:p w14:paraId="43EDB920">
            <w:pPr>
              <w:tabs>
                <w:tab w:val="left" w:pos="2198"/>
              </w:tabs>
              <w:spacing w:line="360" w:lineRule="auto"/>
              <w:ind w:firstLine="602" w:firstLineChars="200"/>
              <w:jc w:val="center"/>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lang w:val="zh-CN"/>
              </w:rPr>
              <w:t>类   型</w:t>
            </w:r>
          </w:p>
        </w:tc>
        <w:tc>
          <w:tcPr>
            <w:tcW w:w="6498" w:type="dxa"/>
            <w:tcBorders>
              <w:top w:val="single" w:color="auto" w:sz="12" w:space="0"/>
              <w:left w:val="single" w:color="auto" w:sz="6" w:space="0"/>
              <w:bottom w:val="single" w:color="auto" w:sz="6" w:space="0"/>
              <w:right w:val="single" w:color="auto" w:sz="12" w:space="0"/>
            </w:tcBorders>
            <w:vAlign w:val="center"/>
          </w:tcPr>
          <w:p w14:paraId="11E3CD5B">
            <w:pPr>
              <w:tabs>
                <w:tab w:val="left" w:pos="2198"/>
              </w:tabs>
              <w:spacing w:line="360" w:lineRule="auto"/>
              <w:ind w:firstLine="602" w:firstLineChars="200"/>
              <w:jc w:val="center"/>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lang w:val="zh-CN"/>
              </w:rPr>
              <w:t>硬件</w:t>
            </w:r>
            <w:r>
              <w:rPr>
                <w:rFonts w:hint="eastAsia" w:ascii="楷体" w:hAnsi="楷体" w:eastAsia="楷体" w:cs="楷体"/>
                <w:b/>
                <w:bCs/>
                <w:color w:val="auto"/>
                <w:sz w:val="30"/>
                <w:szCs w:val="30"/>
              </w:rPr>
              <w:t>运维</w:t>
            </w:r>
            <w:r>
              <w:rPr>
                <w:rFonts w:hint="eastAsia" w:ascii="楷体" w:hAnsi="楷体" w:eastAsia="楷体" w:cs="楷体"/>
                <w:b/>
                <w:bCs/>
                <w:color w:val="auto"/>
                <w:sz w:val="30"/>
                <w:szCs w:val="30"/>
                <w:lang w:val="zh-CN"/>
              </w:rPr>
              <w:t>内容</w:t>
            </w:r>
          </w:p>
        </w:tc>
      </w:tr>
      <w:tr w14:paraId="5443B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1239" w:type="dxa"/>
            <w:vMerge w:val="restart"/>
            <w:tcBorders>
              <w:top w:val="single" w:color="auto" w:sz="6" w:space="0"/>
              <w:left w:val="single" w:color="auto" w:sz="12" w:space="0"/>
              <w:bottom w:val="single" w:color="auto" w:sz="6" w:space="0"/>
              <w:right w:val="single" w:color="auto" w:sz="6" w:space="0"/>
            </w:tcBorders>
            <w:vAlign w:val="center"/>
          </w:tcPr>
          <w:p w14:paraId="09AB8C72">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电脑</w:t>
            </w:r>
          </w:p>
        </w:tc>
        <w:tc>
          <w:tcPr>
            <w:tcW w:w="1511" w:type="dxa"/>
            <w:tcBorders>
              <w:top w:val="single" w:color="auto" w:sz="6" w:space="0"/>
              <w:left w:val="single" w:color="auto" w:sz="6" w:space="0"/>
              <w:bottom w:val="single" w:color="auto" w:sz="6" w:space="0"/>
              <w:right w:val="single" w:color="auto" w:sz="6" w:space="0"/>
            </w:tcBorders>
            <w:vAlign w:val="center"/>
          </w:tcPr>
          <w:p w14:paraId="1537A498">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台式主机</w:t>
            </w:r>
          </w:p>
        </w:tc>
        <w:tc>
          <w:tcPr>
            <w:tcW w:w="6498" w:type="dxa"/>
            <w:tcBorders>
              <w:top w:val="single" w:color="auto" w:sz="6" w:space="0"/>
              <w:left w:val="single" w:color="auto" w:sz="6" w:space="0"/>
              <w:bottom w:val="single" w:color="auto" w:sz="6" w:space="0"/>
              <w:right w:val="single" w:color="auto" w:sz="12" w:space="0"/>
            </w:tcBorders>
            <w:vAlign w:val="center"/>
          </w:tcPr>
          <w:p w14:paraId="12B21105">
            <w:pPr>
              <w:tabs>
                <w:tab w:val="left" w:pos="2198"/>
              </w:tabs>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主板、CPU、内存、硬盘、光驱、软驱、显卡、声卡、网卡、电源等。（不包</w:t>
            </w:r>
            <w:r>
              <w:rPr>
                <w:rFonts w:hint="eastAsia" w:ascii="楷体" w:hAnsi="楷体" w:eastAsia="楷体" w:cs="楷体"/>
                <w:color w:val="auto"/>
                <w:sz w:val="30"/>
                <w:szCs w:val="30"/>
              </w:rPr>
              <w:t>括提供</w:t>
            </w:r>
            <w:r>
              <w:rPr>
                <w:rFonts w:hint="eastAsia" w:ascii="楷体" w:hAnsi="楷体" w:eastAsia="楷体" w:cs="楷体"/>
                <w:color w:val="auto"/>
                <w:sz w:val="30"/>
                <w:szCs w:val="30"/>
                <w:lang w:val="zh-CN"/>
              </w:rPr>
              <w:t>消耗品如键盘、鼠标）。</w:t>
            </w:r>
          </w:p>
        </w:tc>
      </w:tr>
      <w:tr w14:paraId="625C61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9" w:hRule="atLeast"/>
          <w:jc w:val="center"/>
        </w:trPr>
        <w:tc>
          <w:tcPr>
            <w:tcW w:w="1239" w:type="dxa"/>
            <w:vMerge w:val="continue"/>
            <w:tcBorders>
              <w:top w:val="single" w:color="auto" w:sz="6" w:space="0"/>
              <w:left w:val="single" w:color="auto" w:sz="12" w:space="0"/>
              <w:bottom w:val="single" w:color="auto" w:sz="6" w:space="0"/>
              <w:right w:val="single" w:color="auto" w:sz="6" w:space="0"/>
            </w:tcBorders>
            <w:vAlign w:val="center"/>
          </w:tcPr>
          <w:p w14:paraId="43D0533E">
            <w:pPr>
              <w:widowControl/>
              <w:jc w:val="left"/>
              <w:rPr>
                <w:rFonts w:hint="eastAsia" w:ascii="楷体" w:hAnsi="楷体" w:eastAsia="楷体" w:cs="楷体"/>
                <w:color w:val="auto"/>
                <w:sz w:val="30"/>
                <w:szCs w:val="30"/>
                <w:lang w:val="zh-CN"/>
              </w:rPr>
            </w:pPr>
          </w:p>
        </w:tc>
        <w:tc>
          <w:tcPr>
            <w:tcW w:w="1511" w:type="dxa"/>
            <w:tcBorders>
              <w:top w:val="single" w:color="auto" w:sz="6" w:space="0"/>
              <w:left w:val="single" w:color="auto" w:sz="6" w:space="0"/>
              <w:bottom w:val="single" w:color="auto" w:sz="6" w:space="0"/>
              <w:right w:val="single" w:color="auto" w:sz="6" w:space="0"/>
            </w:tcBorders>
            <w:vAlign w:val="center"/>
          </w:tcPr>
          <w:p w14:paraId="2A164B5D">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显示器</w:t>
            </w:r>
          </w:p>
        </w:tc>
        <w:tc>
          <w:tcPr>
            <w:tcW w:w="6498" w:type="dxa"/>
            <w:tcBorders>
              <w:top w:val="single" w:color="auto" w:sz="6" w:space="0"/>
              <w:left w:val="single" w:color="auto" w:sz="6" w:space="0"/>
              <w:bottom w:val="single" w:color="auto" w:sz="6" w:space="0"/>
              <w:right w:val="single" w:color="auto" w:sz="12" w:space="0"/>
            </w:tcBorders>
            <w:vAlign w:val="center"/>
          </w:tcPr>
          <w:p w14:paraId="34560075">
            <w:pPr>
              <w:tabs>
                <w:tab w:val="left" w:pos="2198"/>
              </w:tabs>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高压包、行输出管、三基色放大管、IC、整流二极管、电源开关管、电源振荡IC、二次电源调整管、保险管、电容电阻、电感线圈、偏转线圈、液晶主板、液晶高压板、液晶灯管、液晶适配器、液晶屏等。（不包</w:t>
            </w:r>
            <w:r>
              <w:rPr>
                <w:rFonts w:hint="eastAsia" w:ascii="楷体" w:hAnsi="楷体" w:eastAsia="楷体" w:cs="楷体"/>
                <w:color w:val="auto"/>
                <w:sz w:val="30"/>
                <w:szCs w:val="30"/>
              </w:rPr>
              <w:t>括</w:t>
            </w:r>
            <w:r>
              <w:rPr>
                <w:rFonts w:hint="eastAsia" w:ascii="楷体" w:hAnsi="楷体" w:eastAsia="楷体" w:cs="楷体"/>
                <w:color w:val="auto"/>
                <w:sz w:val="30"/>
                <w:szCs w:val="30"/>
                <w:lang w:val="zh-CN"/>
              </w:rPr>
              <w:t>触摸液晶屏）。</w:t>
            </w:r>
          </w:p>
        </w:tc>
      </w:tr>
      <w:tr w14:paraId="288CF4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6" w:hRule="atLeast"/>
          <w:jc w:val="center"/>
        </w:trPr>
        <w:tc>
          <w:tcPr>
            <w:tcW w:w="1239" w:type="dxa"/>
            <w:vMerge w:val="continue"/>
            <w:tcBorders>
              <w:top w:val="single" w:color="auto" w:sz="6" w:space="0"/>
              <w:left w:val="single" w:color="auto" w:sz="12" w:space="0"/>
              <w:bottom w:val="single" w:color="auto" w:sz="6" w:space="0"/>
              <w:right w:val="single" w:color="auto" w:sz="6" w:space="0"/>
            </w:tcBorders>
            <w:vAlign w:val="center"/>
          </w:tcPr>
          <w:p w14:paraId="0D245C6C">
            <w:pPr>
              <w:widowControl/>
              <w:jc w:val="left"/>
              <w:rPr>
                <w:rFonts w:hint="eastAsia" w:ascii="楷体" w:hAnsi="楷体" w:eastAsia="楷体" w:cs="楷体"/>
                <w:color w:val="auto"/>
                <w:sz w:val="30"/>
                <w:szCs w:val="30"/>
                <w:lang w:val="zh-CN"/>
              </w:rPr>
            </w:pPr>
          </w:p>
        </w:tc>
        <w:tc>
          <w:tcPr>
            <w:tcW w:w="1511" w:type="dxa"/>
            <w:tcBorders>
              <w:top w:val="single" w:color="auto" w:sz="6" w:space="0"/>
              <w:left w:val="single" w:color="auto" w:sz="6" w:space="0"/>
              <w:bottom w:val="single" w:color="auto" w:sz="6" w:space="0"/>
              <w:right w:val="single" w:color="auto" w:sz="6" w:space="0"/>
            </w:tcBorders>
            <w:vAlign w:val="center"/>
          </w:tcPr>
          <w:p w14:paraId="46FA40A0">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一体式电脑</w:t>
            </w:r>
          </w:p>
        </w:tc>
        <w:tc>
          <w:tcPr>
            <w:tcW w:w="6498" w:type="dxa"/>
            <w:tcBorders>
              <w:top w:val="single" w:color="auto" w:sz="6" w:space="0"/>
              <w:left w:val="single" w:color="auto" w:sz="6" w:space="0"/>
              <w:bottom w:val="single" w:color="auto" w:sz="6" w:space="0"/>
              <w:right w:val="single" w:color="auto" w:sz="12" w:space="0"/>
            </w:tcBorders>
            <w:vAlign w:val="center"/>
          </w:tcPr>
          <w:p w14:paraId="098E061B">
            <w:pPr>
              <w:tabs>
                <w:tab w:val="left" w:pos="2198"/>
              </w:tabs>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主板、CPU、内存、硬盘、光驱、散热器、电源、液晶屏等。（不包</w:t>
            </w:r>
            <w:r>
              <w:rPr>
                <w:rFonts w:hint="eastAsia" w:ascii="楷体" w:hAnsi="楷体" w:eastAsia="楷体" w:cs="楷体"/>
                <w:color w:val="auto"/>
                <w:sz w:val="30"/>
                <w:szCs w:val="30"/>
              </w:rPr>
              <w:t>括提供</w:t>
            </w:r>
            <w:r>
              <w:rPr>
                <w:rFonts w:hint="eastAsia" w:ascii="楷体" w:hAnsi="楷体" w:eastAsia="楷体" w:cs="楷体"/>
                <w:color w:val="auto"/>
                <w:sz w:val="30"/>
                <w:szCs w:val="30"/>
                <w:lang w:val="zh-CN"/>
              </w:rPr>
              <w:t>消耗品如键盘、鼠标、触摸液晶屏）。</w:t>
            </w:r>
          </w:p>
        </w:tc>
      </w:tr>
      <w:tr w14:paraId="03897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1" w:hRule="atLeast"/>
          <w:jc w:val="center"/>
        </w:trPr>
        <w:tc>
          <w:tcPr>
            <w:tcW w:w="1239" w:type="dxa"/>
            <w:vMerge w:val="restart"/>
            <w:tcBorders>
              <w:top w:val="single" w:color="auto" w:sz="6" w:space="0"/>
              <w:left w:val="single" w:color="auto" w:sz="12" w:space="0"/>
              <w:bottom w:val="single" w:color="auto" w:sz="6" w:space="0"/>
              <w:right w:val="single" w:color="auto" w:sz="6" w:space="0"/>
            </w:tcBorders>
            <w:vAlign w:val="center"/>
          </w:tcPr>
          <w:p w14:paraId="42860F09">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打印机</w:t>
            </w:r>
          </w:p>
        </w:tc>
        <w:tc>
          <w:tcPr>
            <w:tcW w:w="1511" w:type="dxa"/>
            <w:tcBorders>
              <w:top w:val="single" w:color="auto" w:sz="6" w:space="0"/>
              <w:left w:val="single" w:color="auto" w:sz="6" w:space="0"/>
              <w:bottom w:val="single" w:color="auto" w:sz="6" w:space="0"/>
              <w:right w:val="single" w:color="auto" w:sz="6" w:space="0"/>
            </w:tcBorders>
            <w:vAlign w:val="center"/>
          </w:tcPr>
          <w:p w14:paraId="2BFBA1EA">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激光打印机</w:t>
            </w:r>
          </w:p>
        </w:tc>
        <w:tc>
          <w:tcPr>
            <w:tcW w:w="6498" w:type="dxa"/>
            <w:tcBorders>
              <w:top w:val="single" w:color="auto" w:sz="6" w:space="0"/>
              <w:left w:val="single" w:color="auto" w:sz="6" w:space="0"/>
              <w:bottom w:val="single" w:color="auto" w:sz="6" w:space="0"/>
              <w:right w:val="single" w:color="auto" w:sz="12" w:space="0"/>
            </w:tcBorders>
            <w:vAlign w:val="center"/>
          </w:tcPr>
          <w:p w14:paraId="6F7F5915">
            <w:pPr>
              <w:tabs>
                <w:tab w:val="left" w:pos="2198"/>
              </w:tabs>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主板、机架、电源板、齿轮、主电机、附电机、按键、纸盒、激光发生器、加热芯、定影膜、定影灯、分离器、搓纸轮、进纸传感器、出纸传感器、进出纸主附轮等。（不包</w:t>
            </w:r>
            <w:r>
              <w:rPr>
                <w:rFonts w:hint="eastAsia" w:ascii="楷体" w:hAnsi="楷体" w:eastAsia="楷体" w:cs="楷体"/>
                <w:color w:val="auto"/>
                <w:sz w:val="30"/>
                <w:szCs w:val="30"/>
              </w:rPr>
              <w:t>括提供</w:t>
            </w:r>
            <w:r>
              <w:rPr>
                <w:rFonts w:hint="eastAsia" w:ascii="楷体" w:hAnsi="楷体" w:eastAsia="楷体" w:cs="楷体"/>
                <w:color w:val="auto"/>
                <w:sz w:val="30"/>
                <w:szCs w:val="30"/>
                <w:lang w:val="zh-CN"/>
              </w:rPr>
              <w:t>消耗品如硒鼓、碳粉等）。</w:t>
            </w:r>
          </w:p>
        </w:tc>
      </w:tr>
      <w:tr w14:paraId="21AB4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5" w:hRule="atLeast"/>
          <w:jc w:val="center"/>
        </w:trPr>
        <w:tc>
          <w:tcPr>
            <w:tcW w:w="1239" w:type="dxa"/>
            <w:vMerge w:val="continue"/>
            <w:tcBorders>
              <w:top w:val="single" w:color="auto" w:sz="6" w:space="0"/>
              <w:left w:val="single" w:color="auto" w:sz="12" w:space="0"/>
              <w:bottom w:val="single" w:color="auto" w:sz="6" w:space="0"/>
              <w:right w:val="single" w:color="auto" w:sz="6" w:space="0"/>
            </w:tcBorders>
            <w:vAlign w:val="center"/>
          </w:tcPr>
          <w:p w14:paraId="4C3FCEDE">
            <w:pPr>
              <w:widowControl/>
              <w:jc w:val="left"/>
              <w:rPr>
                <w:rFonts w:hint="eastAsia" w:ascii="楷体" w:hAnsi="楷体" w:eastAsia="楷体" w:cs="楷体"/>
                <w:color w:val="auto"/>
                <w:sz w:val="30"/>
                <w:szCs w:val="30"/>
                <w:lang w:val="zh-CN"/>
              </w:rPr>
            </w:pPr>
          </w:p>
        </w:tc>
        <w:tc>
          <w:tcPr>
            <w:tcW w:w="1511" w:type="dxa"/>
            <w:tcBorders>
              <w:top w:val="single" w:color="auto" w:sz="6" w:space="0"/>
              <w:left w:val="single" w:color="auto" w:sz="6" w:space="0"/>
              <w:bottom w:val="single" w:color="auto" w:sz="6" w:space="0"/>
              <w:right w:val="single" w:color="auto" w:sz="6" w:space="0"/>
            </w:tcBorders>
            <w:vAlign w:val="center"/>
          </w:tcPr>
          <w:p w14:paraId="46EFF2C4">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喷墨打印机</w:t>
            </w:r>
          </w:p>
        </w:tc>
        <w:tc>
          <w:tcPr>
            <w:tcW w:w="6498" w:type="dxa"/>
            <w:tcBorders>
              <w:top w:val="single" w:color="auto" w:sz="6" w:space="0"/>
              <w:left w:val="single" w:color="auto" w:sz="6" w:space="0"/>
              <w:bottom w:val="single" w:color="auto" w:sz="6" w:space="0"/>
              <w:right w:val="single" w:color="auto" w:sz="12" w:space="0"/>
            </w:tcBorders>
            <w:vAlign w:val="center"/>
          </w:tcPr>
          <w:p w14:paraId="7E41140E">
            <w:pPr>
              <w:tabs>
                <w:tab w:val="left" w:pos="2198"/>
              </w:tabs>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主板、附板、电源板、头缆、机架、齿轮、主电机、附电机、导纸盒、轮盘传感器（附轮）、出进纸主轴附轴、皮带、导轴、部分传感器、棉垫、字车、计数器、搓纸轮、废墨填充器、泵及附件等。（不包</w:t>
            </w:r>
            <w:r>
              <w:rPr>
                <w:rFonts w:hint="eastAsia" w:ascii="楷体" w:hAnsi="楷体" w:eastAsia="楷体" w:cs="楷体"/>
                <w:color w:val="auto"/>
                <w:sz w:val="30"/>
                <w:szCs w:val="30"/>
              </w:rPr>
              <w:t>括提供</w:t>
            </w:r>
            <w:r>
              <w:rPr>
                <w:rFonts w:hint="eastAsia" w:ascii="楷体" w:hAnsi="楷体" w:eastAsia="楷体" w:cs="楷体"/>
                <w:color w:val="auto"/>
                <w:sz w:val="30"/>
                <w:szCs w:val="30"/>
                <w:lang w:val="zh-CN"/>
              </w:rPr>
              <w:t>消耗品如喷墨头、墨水、墨盒等）。</w:t>
            </w:r>
          </w:p>
        </w:tc>
      </w:tr>
      <w:tr w14:paraId="2893D5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1239" w:type="dxa"/>
            <w:vMerge w:val="continue"/>
            <w:tcBorders>
              <w:top w:val="single" w:color="auto" w:sz="6" w:space="0"/>
              <w:left w:val="single" w:color="auto" w:sz="12" w:space="0"/>
              <w:bottom w:val="single" w:color="auto" w:sz="6" w:space="0"/>
              <w:right w:val="single" w:color="auto" w:sz="6" w:space="0"/>
            </w:tcBorders>
            <w:vAlign w:val="center"/>
          </w:tcPr>
          <w:p w14:paraId="430A7587">
            <w:pPr>
              <w:widowControl/>
              <w:jc w:val="left"/>
              <w:rPr>
                <w:rFonts w:hint="eastAsia" w:ascii="楷体" w:hAnsi="楷体" w:eastAsia="楷体" w:cs="楷体"/>
                <w:color w:val="auto"/>
                <w:sz w:val="30"/>
                <w:szCs w:val="30"/>
                <w:lang w:val="zh-CN"/>
              </w:rPr>
            </w:pPr>
          </w:p>
        </w:tc>
        <w:tc>
          <w:tcPr>
            <w:tcW w:w="1511" w:type="dxa"/>
            <w:tcBorders>
              <w:top w:val="single" w:color="auto" w:sz="6" w:space="0"/>
              <w:left w:val="single" w:color="auto" w:sz="6" w:space="0"/>
              <w:bottom w:val="single" w:color="auto" w:sz="6" w:space="0"/>
              <w:right w:val="single" w:color="auto" w:sz="6" w:space="0"/>
            </w:tcBorders>
            <w:vAlign w:val="center"/>
          </w:tcPr>
          <w:p w14:paraId="034B9A02">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针式打印机</w:t>
            </w:r>
          </w:p>
        </w:tc>
        <w:tc>
          <w:tcPr>
            <w:tcW w:w="6498" w:type="dxa"/>
            <w:tcBorders>
              <w:top w:val="single" w:color="auto" w:sz="6" w:space="0"/>
              <w:left w:val="single" w:color="auto" w:sz="6" w:space="0"/>
              <w:bottom w:val="single" w:color="auto" w:sz="6" w:space="0"/>
              <w:right w:val="single" w:color="auto" w:sz="12" w:space="0"/>
            </w:tcBorders>
            <w:vAlign w:val="center"/>
          </w:tcPr>
          <w:p w14:paraId="065FE9AA">
            <w:pPr>
              <w:tabs>
                <w:tab w:val="left" w:pos="2198"/>
              </w:tabs>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主机板、字车导轨、打印头支架、齿轮、指示灯、电机、卷纸轴滚筒、控制面板、卷轴旋扭、导纸器、拖纸器、过纸控制杆、打印头挡片等。（不包</w:t>
            </w:r>
            <w:r>
              <w:rPr>
                <w:rFonts w:hint="eastAsia" w:ascii="楷体" w:hAnsi="楷体" w:eastAsia="楷体" w:cs="楷体"/>
                <w:color w:val="auto"/>
                <w:sz w:val="30"/>
                <w:szCs w:val="30"/>
              </w:rPr>
              <w:t>括提供</w:t>
            </w:r>
            <w:r>
              <w:rPr>
                <w:rFonts w:hint="eastAsia" w:ascii="楷体" w:hAnsi="楷体" w:eastAsia="楷体" w:cs="楷体"/>
                <w:color w:val="auto"/>
                <w:sz w:val="30"/>
                <w:szCs w:val="30"/>
                <w:lang w:val="zh-CN"/>
              </w:rPr>
              <w:t>消耗品如打印头、打印针、色带架、色带等，打印头断针故障更换断针服务除外）。</w:t>
            </w:r>
          </w:p>
        </w:tc>
      </w:tr>
      <w:tr w14:paraId="01BD9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 w:hRule="atLeast"/>
          <w:jc w:val="center"/>
        </w:trPr>
        <w:tc>
          <w:tcPr>
            <w:tcW w:w="1239" w:type="dxa"/>
            <w:vMerge w:val="continue"/>
            <w:tcBorders>
              <w:top w:val="single" w:color="auto" w:sz="6" w:space="0"/>
              <w:left w:val="single" w:color="auto" w:sz="12" w:space="0"/>
              <w:bottom w:val="single" w:color="auto" w:sz="6" w:space="0"/>
              <w:right w:val="single" w:color="auto" w:sz="6" w:space="0"/>
            </w:tcBorders>
            <w:vAlign w:val="center"/>
          </w:tcPr>
          <w:p w14:paraId="4A6B0B29">
            <w:pPr>
              <w:widowControl/>
              <w:jc w:val="left"/>
              <w:rPr>
                <w:rFonts w:hint="eastAsia" w:ascii="楷体" w:hAnsi="楷体" w:eastAsia="楷体" w:cs="楷体"/>
                <w:color w:val="auto"/>
                <w:sz w:val="30"/>
                <w:szCs w:val="30"/>
                <w:lang w:val="zh-CN"/>
              </w:rPr>
            </w:pPr>
          </w:p>
        </w:tc>
        <w:tc>
          <w:tcPr>
            <w:tcW w:w="1511" w:type="dxa"/>
            <w:tcBorders>
              <w:top w:val="single" w:color="auto" w:sz="6" w:space="0"/>
              <w:left w:val="single" w:color="auto" w:sz="6" w:space="0"/>
              <w:bottom w:val="single" w:color="auto" w:sz="6" w:space="0"/>
              <w:right w:val="single" w:color="auto" w:sz="6" w:space="0"/>
            </w:tcBorders>
            <w:vAlign w:val="center"/>
          </w:tcPr>
          <w:p w14:paraId="0797FBD4">
            <w:pPr>
              <w:tabs>
                <w:tab w:val="left" w:pos="2198"/>
              </w:tabs>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多功能一体机</w:t>
            </w:r>
          </w:p>
        </w:tc>
        <w:tc>
          <w:tcPr>
            <w:tcW w:w="6498" w:type="dxa"/>
            <w:tcBorders>
              <w:top w:val="single" w:color="auto" w:sz="6" w:space="0"/>
              <w:left w:val="single" w:color="auto" w:sz="6" w:space="0"/>
              <w:bottom w:val="single" w:color="auto" w:sz="6" w:space="0"/>
              <w:right w:val="single" w:color="auto" w:sz="12" w:space="0"/>
            </w:tcBorders>
            <w:vAlign w:val="center"/>
          </w:tcPr>
          <w:p w14:paraId="6CA49A3A">
            <w:pPr>
              <w:tabs>
                <w:tab w:val="left" w:pos="2198"/>
              </w:tabs>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主板、机架、齿轮、主附电机、原搞扫描器、送话器、键盘、纸盒、分离器、搓纸轮、进纸传感器、出纸传感器、进出纸主附轮、电源板等。（不包</w:t>
            </w:r>
            <w:r>
              <w:rPr>
                <w:rFonts w:hint="eastAsia" w:ascii="楷体" w:hAnsi="楷体" w:eastAsia="楷体" w:cs="楷体"/>
                <w:color w:val="auto"/>
                <w:sz w:val="30"/>
                <w:szCs w:val="30"/>
              </w:rPr>
              <w:t>括提供</w:t>
            </w:r>
            <w:r>
              <w:rPr>
                <w:rFonts w:hint="eastAsia" w:ascii="楷体" w:hAnsi="楷体" w:eastAsia="楷体" w:cs="楷体"/>
                <w:color w:val="auto"/>
                <w:sz w:val="30"/>
                <w:szCs w:val="30"/>
                <w:lang w:val="zh-CN"/>
              </w:rPr>
              <w:t>消耗品如扫描头、硒鼓、碳粉、喷墨头、墨水、墨盒等）。</w:t>
            </w:r>
          </w:p>
        </w:tc>
      </w:tr>
    </w:tbl>
    <w:p w14:paraId="6116DE3B">
      <w:pPr>
        <w:numPr>
          <w:ilvl w:val="255"/>
          <w:numId w:val="0"/>
        </w:numPr>
        <w:spacing w:line="360" w:lineRule="auto"/>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rPr>
        <w:t>2、桌面端维护服务</w:t>
      </w:r>
    </w:p>
    <w:p w14:paraId="45585D0B">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硬件维护：</w:t>
      </w:r>
    </w:p>
    <w:p w14:paraId="69F65725">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提供</w:t>
      </w:r>
      <w:r>
        <w:rPr>
          <w:rFonts w:hint="eastAsia" w:ascii="楷体" w:hAnsi="楷体" w:eastAsia="楷体" w:cs="楷体"/>
          <w:color w:val="auto"/>
          <w:sz w:val="30"/>
          <w:szCs w:val="30"/>
        </w:rPr>
        <w:t>包含但不限于“1、需维护设备的说明”中涉及的</w:t>
      </w:r>
      <w:r>
        <w:rPr>
          <w:rFonts w:hint="eastAsia" w:ascii="楷体" w:hAnsi="楷体" w:eastAsia="楷体" w:cs="楷体"/>
          <w:color w:val="auto"/>
          <w:sz w:val="30"/>
          <w:szCs w:val="30"/>
          <w:lang w:val="zh-CN"/>
        </w:rPr>
        <w:t>电脑及配套外设的安装、调试、维护、故障检测和问题排除等服务。</w:t>
      </w:r>
    </w:p>
    <w:p w14:paraId="2A7A12B7">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应用支持：</w:t>
      </w:r>
    </w:p>
    <w:p w14:paraId="282CBC04">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共享打印机、共享文档和常用办公软件的使用技巧等简单应用的支持。</w:t>
      </w:r>
    </w:p>
    <w:p w14:paraId="5735AE82">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专用软件故障备注好故障现象或事件维护经过并由服务台转单给相关负责人提供服务。</w:t>
      </w:r>
    </w:p>
    <w:p w14:paraId="41748EE3">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操作系统维护：</w:t>
      </w:r>
    </w:p>
    <w:p w14:paraId="2F9A7641">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重新安装与医疗业务系统不兼容的操作系统、杀毒软件、办公软件、医疗应用软件、使用科室指定软件和准入管理软件。</w:t>
      </w:r>
    </w:p>
    <w:p w14:paraId="53B762A5">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①</w:t>
      </w:r>
      <w:r>
        <w:rPr>
          <w:rFonts w:hint="eastAsia" w:ascii="楷体" w:hAnsi="楷体" w:eastAsia="楷体" w:cs="楷体"/>
          <w:color w:val="auto"/>
          <w:sz w:val="30"/>
          <w:szCs w:val="30"/>
          <w:lang w:val="zh-CN"/>
        </w:rPr>
        <w:t>重新装系统时，备份会丢失的文件。</w:t>
      </w:r>
    </w:p>
    <w:p w14:paraId="3D503546">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②</w:t>
      </w:r>
      <w:r>
        <w:rPr>
          <w:rFonts w:hint="eastAsia" w:ascii="楷体" w:hAnsi="楷体" w:eastAsia="楷体" w:cs="楷体"/>
          <w:color w:val="auto"/>
          <w:sz w:val="30"/>
          <w:szCs w:val="30"/>
          <w:lang w:val="zh-CN"/>
        </w:rPr>
        <w:t>重新安装操作系统后，更改计算机名为按医院规划的计算机名并记录IP地址备案，做设备准入的管理工作。</w:t>
      </w:r>
    </w:p>
    <w:p w14:paraId="49189665">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③</w:t>
      </w:r>
      <w:r>
        <w:rPr>
          <w:rFonts w:hint="eastAsia" w:ascii="楷体" w:hAnsi="楷体" w:eastAsia="楷体" w:cs="楷体"/>
          <w:color w:val="auto"/>
          <w:sz w:val="30"/>
          <w:szCs w:val="30"/>
          <w:lang w:val="zh-CN"/>
        </w:rPr>
        <w:t>各类硬件驱动程序安装。</w:t>
      </w:r>
    </w:p>
    <w:p w14:paraId="4F4E83F9">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新布线信息点与电脑连接：</w:t>
      </w:r>
    </w:p>
    <w:p w14:paraId="1229B4C9">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设置采购人指定的IP地址，记录主机MAC地址。</w:t>
      </w:r>
    </w:p>
    <w:p w14:paraId="650947E0">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损坏设备的维修：</w:t>
      </w:r>
    </w:p>
    <w:p w14:paraId="301759CE">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在保修期内由投标人联系厂家维修；非保修期内由投标人送修。</w:t>
      </w:r>
    </w:p>
    <w:p w14:paraId="0ADD103A">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（6）</w:t>
      </w:r>
      <w:r>
        <w:rPr>
          <w:rFonts w:hint="eastAsia" w:ascii="楷体" w:hAnsi="楷体" w:eastAsia="楷体" w:cs="楷体"/>
          <w:color w:val="auto"/>
          <w:sz w:val="30"/>
          <w:szCs w:val="30"/>
          <w:lang w:val="zh-CN"/>
        </w:rPr>
        <w:t>办公设备优化：</w:t>
      </w:r>
    </w:p>
    <w:p w14:paraId="5DC4331F">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提供</w:t>
      </w:r>
      <w:r>
        <w:rPr>
          <w:rFonts w:hint="eastAsia" w:ascii="楷体" w:hAnsi="楷体" w:eastAsia="楷体" w:cs="楷体"/>
          <w:color w:val="auto"/>
          <w:sz w:val="30"/>
          <w:szCs w:val="30"/>
          <w:lang w:val="zh-CN"/>
        </w:rPr>
        <w:t>年度检测和优化提高办公设备使用效率和使用寿命。</w:t>
      </w:r>
    </w:p>
    <w:p w14:paraId="4AEA12FD">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（7）</w:t>
      </w:r>
      <w:r>
        <w:rPr>
          <w:rFonts w:hint="eastAsia" w:ascii="楷体" w:hAnsi="楷体" w:eastAsia="楷体" w:cs="楷体"/>
          <w:color w:val="auto"/>
          <w:sz w:val="30"/>
          <w:szCs w:val="30"/>
          <w:lang w:val="zh-CN"/>
        </w:rPr>
        <w:t>IT行业咨询：</w:t>
      </w:r>
    </w:p>
    <w:p w14:paraId="10E74EE0">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根据使用科室的实际情况为使用科室提供有效的行业应用方案建议书。</w:t>
      </w:r>
    </w:p>
    <w:p w14:paraId="14C9AE7C">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（8）</w:t>
      </w:r>
      <w:r>
        <w:rPr>
          <w:rFonts w:hint="eastAsia" w:ascii="楷体" w:hAnsi="楷体" w:eastAsia="楷体" w:cs="楷体"/>
          <w:color w:val="auto"/>
          <w:sz w:val="30"/>
          <w:szCs w:val="30"/>
          <w:lang w:val="zh-CN"/>
        </w:rPr>
        <w:t>其他IT设备相关支持服务。</w:t>
      </w:r>
    </w:p>
    <w:p w14:paraId="18378CFD">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（9）</w:t>
      </w:r>
      <w:r>
        <w:rPr>
          <w:rFonts w:hint="eastAsia" w:ascii="楷体" w:hAnsi="楷体" w:eastAsia="楷体" w:cs="楷体"/>
          <w:color w:val="auto"/>
          <w:sz w:val="30"/>
          <w:szCs w:val="30"/>
          <w:lang w:val="zh-CN"/>
        </w:rPr>
        <w:t>耗材更换：</w:t>
      </w:r>
    </w:p>
    <w:p w14:paraId="26287365">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中标人负责更换调试采购人通过其他渠道购买的耗材。</w:t>
      </w:r>
    </w:p>
    <w:p w14:paraId="56D717EF">
      <w:pPr>
        <w:spacing w:line="360" w:lineRule="auto"/>
        <w:rPr>
          <w:rFonts w:hint="eastAsia" w:ascii="楷体" w:hAnsi="楷体" w:eastAsia="楷体" w:cs="楷体"/>
          <w:color w:val="auto"/>
          <w:sz w:val="30"/>
          <w:szCs w:val="30"/>
        </w:rPr>
      </w:pPr>
      <w:r>
        <w:rPr>
          <w:rFonts w:hint="eastAsia" w:ascii="楷体" w:hAnsi="楷体" w:eastAsia="楷体" w:cs="楷体"/>
          <w:color w:val="auto"/>
          <w:sz w:val="30"/>
          <w:szCs w:val="30"/>
        </w:rPr>
        <w:t>（10）采购人硬盘故障需进行数据恢复，中标人应协助维修并与指定第三方签署</w:t>
      </w:r>
      <w:r>
        <w:rPr>
          <w:rFonts w:ascii="楷体" w:hAnsi="楷体" w:eastAsia="楷体" w:cs="楷体"/>
          <w:color w:val="auto"/>
          <w:sz w:val="30"/>
          <w:szCs w:val="30"/>
        </w:rPr>
        <w:t>保障数据安全和隐私</w:t>
      </w:r>
      <w:r>
        <w:rPr>
          <w:rFonts w:hint="eastAsia" w:ascii="楷体" w:hAnsi="楷体" w:eastAsia="楷体" w:cs="楷体"/>
          <w:color w:val="auto"/>
          <w:sz w:val="30"/>
          <w:szCs w:val="30"/>
        </w:rPr>
        <w:t>的协议，维修费用由采购人承担。</w:t>
      </w:r>
    </w:p>
    <w:p w14:paraId="78DFA6FB">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（11）</w:t>
      </w:r>
      <w:r>
        <w:rPr>
          <w:rFonts w:hint="eastAsia" w:ascii="楷体" w:hAnsi="楷体" w:eastAsia="楷体" w:cs="楷体"/>
          <w:color w:val="auto"/>
          <w:sz w:val="30"/>
          <w:szCs w:val="30"/>
          <w:lang w:val="zh-CN"/>
        </w:rPr>
        <w:t>服务指标及要求：工作时间内驻场人员接到报修通知后30分钟内（临床及一线科室平均响应时间为15分钟内、行政后勤等办公平均响应时间为30分钟内）到达故障现场进行了解和处理。（需提供承诺函并加盖</w:t>
      </w:r>
      <w:r>
        <w:rPr>
          <w:rFonts w:hint="eastAsia" w:ascii="楷体" w:hAnsi="楷体" w:eastAsia="楷体" w:cs="楷体"/>
          <w:color w:val="auto"/>
          <w:sz w:val="30"/>
          <w:szCs w:val="30"/>
        </w:rPr>
        <w:t>投标</w:t>
      </w:r>
      <w:r>
        <w:rPr>
          <w:rFonts w:hint="eastAsia" w:ascii="楷体" w:hAnsi="楷体" w:eastAsia="楷体" w:cs="楷体"/>
          <w:color w:val="auto"/>
          <w:sz w:val="30"/>
          <w:szCs w:val="30"/>
          <w:lang w:val="zh-CN"/>
        </w:rPr>
        <w:t>人公章，格式自拟）</w:t>
      </w:r>
    </w:p>
    <w:p w14:paraId="3715DB5A">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备注：在维护过程中，如有耗材【如网线（电脑与信息点面板连接段）、打印机线、更换墨盒硒鼓、鼠标、键盘等】需要更换，由采购人负责采购所需的耗材。中标人作为硬件维修主体或者耗材供应商，当采购人有采购需求时，要积极响应及时做出合理报价，由采购人审核同意后再按有关规定采购。同时，采购人通过其他渠道购买耗材的，中标人须负责更换调试。</w:t>
      </w:r>
    </w:p>
    <w:p w14:paraId="5C8CE263">
      <w:pPr>
        <w:keepNext/>
        <w:keepLines/>
        <w:spacing w:line="360" w:lineRule="auto"/>
        <w:outlineLvl w:val="2"/>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rPr>
        <w:t>3、基础</w:t>
      </w:r>
      <w:r>
        <w:rPr>
          <w:rFonts w:hint="eastAsia" w:ascii="楷体" w:hAnsi="楷体" w:eastAsia="楷体" w:cs="楷体"/>
          <w:b/>
          <w:bCs/>
          <w:color w:val="auto"/>
          <w:sz w:val="30"/>
          <w:szCs w:val="30"/>
          <w:lang w:val="zh-CN"/>
        </w:rPr>
        <w:t>网络维护服务</w:t>
      </w:r>
    </w:p>
    <w:p w14:paraId="23D5CFE0">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）投标人需</w:t>
      </w:r>
      <w:r>
        <w:rPr>
          <w:rFonts w:hint="eastAsia" w:ascii="楷体" w:hAnsi="楷体" w:eastAsia="楷体" w:cs="楷体"/>
          <w:color w:val="auto"/>
          <w:sz w:val="30"/>
          <w:szCs w:val="30"/>
        </w:rPr>
        <w:t>提供基础</w:t>
      </w:r>
      <w:r>
        <w:rPr>
          <w:rFonts w:hint="eastAsia" w:ascii="楷体" w:hAnsi="楷体" w:eastAsia="楷体" w:cs="楷体"/>
          <w:color w:val="auto"/>
          <w:sz w:val="30"/>
          <w:szCs w:val="30"/>
          <w:lang w:val="zh-CN"/>
        </w:rPr>
        <w:t>的路由器与交换机故障检测及处理；并确保用户数据安全。</w:t>
      </w:r>
    </w:p>
    <w:p w14:paraId="5C948B08">
      <w:pPr>
        <w:pStyle w:val="8"/>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）协助采购人</w:t>
      </w:r>
      <w:r>
        <w:rPr>
          <w:rFonts w:hint="eastAsia" w:ascii="楷体" w:hAnsi="楷体" w:eastAsia="楷体" w:cs="楷体"/>
          <w:color w:val="auto"/>
          <w:sz w:val="30"/>
          <w:szCs w:val="30"/>
        </w:rPr>
        <w:t>基础</w:t>
      </w:r>
      <w:r>
        <w:rPr>
          <w:rFonts w:hint="eastAsia" w:ascii="楷体" w:hAnsi="楷体" w:eastAsia="楷体" w:cs="楷体"/>
          <w:color w:val="auto"/>
          <w:sz w:val="30"/>
          <w:szCs w:val="30"/>
          <w:lang w:val="zh-CN"/>
        </w:rPr>
        <w:t>网络维护等工作内容；</w:t>
      </w:r>
    </w:p>
    <w:p w14:paraId="49A696C2">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（3）最底层的网络设备故障检测及定位</w:t>
      </w:r>
      <w:r>
        <w:rPr>
          <w:rFonts w:hint="eastAsia" w:ascii="楷体" w:hAnsi="楷体" w:eastAsia="楷体" w:cs="楷体"/>
          <w:color w:val="auto"/>
          <w:sz w:val="30"/>
          <w:szCs w:val="30"/>
          <w:lang w:val="zh-CN"/>
        </w:rPr>
        <w:t>；</w:t>
      </w:r>
    </w:p>
    <w:p w14:paraId="16F27D0D">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桌面终端电脑的网络和跳线（桌面电脑至面板间跳线）检测维护。</w:t>
      </w:r>
    </w:p>
    <w:p w14:paraId="6FB416C3">
      <w:pPr>
        <w:keepNext/>
        <w:keepLines/>
        <w:spacing w:line="360" w:lineRule="auto"/>
        <w:outlineLvl w:val="2"/>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rPr>
        <w:t>4、</w:t>
      </w:r>
      <w:r>
        <w:rPr>
          <w:rFonts w:hint="eastAsia" w:ascii="楷体" w:hAnsi="楷体" w:eastAsia="楷体" w:cs="楷体"/>
          <w:b/>
          <w:bCs/>
          <w:color w:val="auto"/>
          <w:sz w:val="30"/>
          <w:szCs w:val="30"/>
          <w:lang w:val="zh-CN"/>
        </w:rPr>
        <w:t>主动预防性巡检服务</w:t>
      </w:r>
    </w:p>
    <w:p w14:paraId="6ADA3C23">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提供</w:t>
      </w:r>
      <w:r>
        <w:rPr>
          <w:rFonts w:hint="eastAsia" w:ascii="楷体" w:hAnsi="楷体" w:eastAsia="楷体" w:cs="楷体"/>
          <w:color w:val="auto"/>
          <w:sz w:val="30"/>
          <w:szCs w:val="30"/>
          <w:lang w:val="zh-CN"/>
        </w:rPr>
        <w:t>设备开展定期主动巡检服务，以降低设备硬件故障发生率；</w:t>
      </w:r>
    </w:p>
    <w:p w14:paraId="5141E9F3">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①</w:t>
      </w:r>
      <w:r>
        <w:rPr>
          <w:rFonts w:hint="eastAsia" w:ascii="楷体" w:hAnsi="楷体" w:eastAsia="楷体" w:cs="楷体"/>
          <w:color w:val="auto"/>
          <w:sz w:val="30"/>
          <w:szCs w:val="30"/>
          <w:lang w:val="zh-CN"/>
        </w:rPr>
        <w:t>定时巡查：每天早上，</w:t>
      </w:r>
      <w:r>
        <w:rPr>
          <w:rFonts w:hint="eastAsia" w:ascii="楷体" w:hAnsi="楷体" w:eastAsia="楷体" w:cs="楷体"/>
          <w:color w:val="auto"/>
          <w:sz w:val="30"/>
          <w:szCs w:val="30"/>
        </w:rPr>
        <w:t>中标人</w:t>
      </w:r>
      <w:r>
        <w:rPr>
          <w:rFonts w:hint="eastAsia" w:ascii="楷体" w:hAnsi="楷体" w:eastAsia="楷体" w:cs="楷体"/>
          <w:color w:val="auto"/>
          <w:sz w:val="30"/>
          <w:szCs w:val="30"/>
          <w:lang w:val="zh-CN"/>
        </w:rPr>
        <w:t>安排固定人员对重要科室如门诊进行巡检，保证临床科室上班开机即进入正常工作状态；</w:t>
      </w:r>
    </w:p>
    <w:p w14:paraId="68B8E405">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②</w:t>
      </w:r>
      <w:r>
        <w:rPr>
          <w:rFonts w:hint="eastAsia" w:ascii="楷体" w:hAnsi="楷体" w:eastAsia="楷体" w:cs="楷体"/>
          <w:color w:val="auto"/>
          <w:sz w:val="30"/>
          <w:szCs w:val="30"/>
          <w:lang w:val="zh-CN"/>
        </w:rPr>
        <w:t>巡查对象：</w:t>
      </w:r>
    </w:p>
    <w:p w14:paraId="18107E5E">
      <w:pPr>
        <w:keepNext/>
        <w:keepLines/>
        <w:numPr>
          <w:ilvl w:val="255"/>
          <w:numId w:val="0"/>
        </w:num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对重点区域设备巡查</w:t>
      </w:r>
    </w:p>
    <w:p w14:paraId="4BCC9ADD">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安排至少1名驻场技术员主动到门诊楼等重要科室巡查，检查机器的运行状态并做好登记；发现问题及时处理或报修</w:t>
      </w:r>
      <w:r>
        <w:rPr>
          <w:rFonts w:hint="eastAsia" w:ascii="楷体" w:hAnsi="楷体" w:eastAsia="楷体" w:cs="楷体"/>
          <w:color w:val="auto"/>
          <w:sz w:val="30"/>
          <w:szCs w:val="30"/>
        </w:rPr>
        <w:t>并</w:t>
      </w:r>
      <w:r>
        <w:rPr>
          <w:rFonts w:hint="eastAsia" w:ascii="楷体" w:hAnsi="楷体" w:eastAsia="楷体" w:cs="楷体"/>
          <w:color w:val="auto"/>
          <w:sz w:val="30"/>
          <w:szCs w:val="30"/>
          <w:lang w:val="zh-CN"/>
        </w:rPr>
        <w:t>安排</w:t>
      </w:r>
      <w:r>
        <w:rPr>
          <w:rFonts w:hint="eastAsia" w:ascii="楷体" w:hAnsi="楷体" w:eastAsia="楷体" w:cs="楷体"/>
          <w:color w:val="auto"/>
          <w:sz w:val="30"/>
          <w:szCs w:val="30"/>
        </w:rPr>
        <w:t>相关</w:t>
      </w:r>
      <w:r>
        <w:rPr>
          <w:rFonts w:hint="eastAsia" w:ascii="楷体" w:hAnsi="楷体" w:eastAsia="楷体" w:cs="楷体"/>
          <w:color w:val="auto"/>
          <w:sz w:val="30"/>
          <w:szCs w:val="30"/>
          <w:lang w:val="zh-CN"/>
        </w:rPr>
        <w:t>同事跟进维护。</w:t>
      </w:r>
    </w:p>
    <w:p w14:paraId="035DEB67">
      <w:pPr>
        <w:keepNext/>
        <w:keepLines/>
        <w:numPr>
          <w:ilvl w:val="255"/>
          <w:numId w:val="0"/>
        </w:num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对重点设备巡查</w:t>
      </w:r>
    </w:p>
    <w:p w14:paraId="451C7D19">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针对电脑、打印机设置专人负责对重要科室巡检并记录设备工作状态，主动及时检查网络，定期优化系统，提高设备使用寿命。</w:t>
      </w:r>
    </w:p>
    <w:p w14:paraId="70F80823">
      <w:pPr>
        <w:keepNext/>
        <w:keepLines/>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对共性问题项目性预防处理</w:t>
      </w:r>
    </w:p>
    <w:p w14:paraId="765D21AB">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每周监控服务数据，每月做数据分析，</w:t>
      </w:r>
      <w:r>
        <w:rPr>
          <w:rFonts w:hint="eastAsia" w:ascii="楷体" w:hAnsi="楷体" w:eastAsia="楷体" w:cs="楷体"/>
          <w:color w:val="auto"/>
          <w:sz w:val="30"/>
          <w:szCs w:val="30"/>
        </w:rPr>
        <w:t>以</w:t>
      </w:r>
      <w:r>
        <w:rPr>
          <w:rFonts w:hint="eastAsia" w:ascii="楷体" w:hAnsi="楷体" w:eastAsia="楷体" w:cs="楷体"/>
          <w:color w:val="auto"/>
          <w:sz w:val="30"/>
          <w:szCs w:val="30"/>
          <w:lang w:val="zh-CN"/>
        </w:rPr>
        <w:t>发现共性问题</w:t>
      </w:r>
      <w:r>
        <w:rPr>
          <w:rFonts w:hint="eastAsia" w:ascii="楷体" w:hAnsi="楷体" w:eastAsia="楷体" w:cs="楷体"/>
          <w:color w:val="auto"/>
          <w:sz w:val="30"/>
          <w:szCs w:val="30"/>
        </w:rPr>
        <w:t>并</w:t>
      </w:r>
      <w:r>
        <w:rPr>
          <w:rFonts w:hint="eastAsia" w:ascii="楷体" w:hAnsi="楷体" w:eastAsia="楷体" w:cs="楷体"/>
          <w:color w:val="auto"/>
          <w:sz w:val="30"/>
          <w:szCs w:val="30"/>
          <w:lang w:val="zh-CN"/>
        </w:rPr>
        <w:t>提出项目解决方案。</w:t>
      </w:r>
      <w:r>
        <w:rPr>
          <w:rFonts w:hint="eastAsia" w:ascii="楷体" w:hAnsi="楷体" w:eastAsia="楷体" w:cs="楷体"/>
          <w:color w:val="auto"/>
          <w:sz w:val="30"/>
          <w:szCs w:val="30"/>
        </w:rPr>
        <w:t>同时，</w:t>
      </w:r>
      <w:r>
        <w:rPr>
          <w:rFonts w:hint="eastAsia" w:ascii="楷体" w:hAnsi="楷体" w:eastAsia="楷体" w:cs="楷体"/>
          <w:color w:val="auto"/>
          <w:sz w:val="30"/>
          <w:szCs w:val="30"/>
          <w:lang w:val="zh-CN"/>
        </w:rPr>
        <w:t>主动通知</w:t>
      </w:r>
      <w:r>
        <w:rPr>
          <w:rFonts w:hint="eastAsia" w:ascii="楷体" w:hAnsi="楷体" w:eastAsia="楷体" w:cs="楷体"/>
          <w:color w:val="auto"/>
          <w:sz w:val="30"/>
          <w:szCs w:val="30"/>
        </w:rPr>
        <w:t>采购人</w:t>
      </w:r>
      <w:r>
        <w:rPr>
          <w:rFonts w:hint="eastAsia" w:ascii="楷体" w:hAnsi="楷体" w:eastAsia="楷体" w:cs="楷体"/>
          <w:color w:val="auto"/>
          <w:sz w:val="30"/>
          <w:szCs w:val="30"/>
          <w:lang w:val="zh-CN"/>
        </w:rPr>
        <w:t>发</w:t>
      </w:r>
      <w:r>
        <w:rPr>
          <w:rFonts w:hint="eastAsia" w:ascii="楷体" w:hAnsi="楷体" w:eastAsia="楷体" w:cs="楷体"/>
          <w:color w:val="auto"/>
          <w:sz w:val="30"/>
          <w:szCs w:val="30"/>
        </w:rPr>
        <w:t>出</w:t>
      </w:r>
      <w:r>
        <w:rPr>
          <w:rFonts w:hint="eastAsia" w:ascii="楷体" w:hAnsi="楷体" w:eastAsia="楷体" w:cs="楷体"/>
          <w:color w:val="auto"/>
          <w:sz w:val="30"/>
          <w:szCs w:val="30"/>
          <w:lang w:val="zh-CN"/>
        </w:rPr>
        <w:t>通知整改。</w:t>
      </w:r>
    </w:p>
    <w:p w14:paraId="6DE1A02B">
      <w:pPr>
        <w:keepNext/>
        <w:keepLines/>
        <w:spacing w:line="360" w:lineRule="auto"/>
        <w:outlineLvl w:val="2"/>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rPr>
        <w:t>5、</w:t>
      </w:r>
      <w:r>
        <w:rPr>
          <w:rFonts w:hint="eastAsia" w:ascii="楷体" w:hAnsi="楷体" w:eastAsia="楷体" w:cs="楷体"/>
          <w:b/>
          <w:bCs/>
          <w:color w:val="auto"/>
          <w:sz w:val="30"/>
          <w:szCs w:val="30"/>
          <w:lang w:val="zh-CN"/>
        </w:rPr>
        <w:t>专项服务</w:t>
      </w:r>
    </w:p>
    <w:p w14:paraId="03CA85FD">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）协助采购人开展信息设备盘点服务：</w:t>
      </w:r>
    </w:p>
    <w:p w14:paraId="0B82F1D6">
      <w:pPr>
        <w:spacing w:line="360" w:lineRule="auto"/>
        <w:ind w:left="420" w:left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至少</w:t>
      </w:r>
      <w:r>
        <w:rPr>
          <w:rFonts w:hint="eastAsia" w:ascii="楷体" w:hAnsi="楷体" w:eastAsia="楷体" w:cs="楷体"/>
          <w:color w:val="auto"/>
          <w:sz w:val="30"/>
          <w:szCs w:val="30"/>
        </w:rPr>
        <w:t>安排</w:t>
      </w:r>
      <w:r>
        <w:rPr>
          <w:rFonts w:hint="eastAsia" w:ascii="楷体" w:hAnsi="楷体" w:eastAsia="楷体" w:cs="楷体"/>
          <w:color w:val="auto"/>
          <w:sz w:val="30"/>
          <w:szCs w:val="30"/>
          <w:lang w:val="zh-CN"/>
        </w:rPr>
        <w:t>两人共同参与医院信息设备（包括但不限于计算机、打印机等设备）</w:t>
      </w:r>
      <w:r>
        <w:rPr>
          <w:rFonts w:hint="eastAsia" w:ascii="楷体" w:hAnsi="楷体" w:eastAsia="楷体" w:cs="楷体"/>
          <w:color w:val="auto"/>
          <w:sz w:val="30"/>
          <w:szCs w:val="30"/>
        </w:rPr>
        <w:t>的</w:t>
      </w:r>
      <w:r>
        <w:rPr>
          <w:rFonts w:hint="eastAsia" w:ascii="楷体" w:hAnsi="楷体" w:eastAsia="楷体" w:cs="楷体"/>
          <w:color w:val="auto"/>
          <w:sz w:val="30"/>
          <w:szCs w:val="30"/>
          <w:lang w:val="zh-CN"/>
        </w:rPr>
        <w:t>盘点工作。</w:t>
      </w:r>
    </w:p>
    <w:p w14:paraId="398457B0">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）科室新建或搬迁设备配置服务：</w:t>
      </w:r>
    </w:p>
    <w:p w14:paraId="2524D694">
      <w:pPr>
        <w:spacing w:line="360" w:lineRule="auto"/>
        <w:ind w:left="420" w:leftChars="200"/>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当</w:t>
      </w:r>
      <w:r>
        <w:rPr>
          <w:rFonts w:hint="eastAsia" w:ascii="楷体" w:hAnsi="楷体" w:eastAsia="楷体" w:cs="楷体"/>
          <w:color w:val="auto"/>
          <w:sz w:val="30"/>
          <w:szCs w:val="30"/>
        </w:rPr>
        <w:t>采购人</w:t>
      </w:r>
      <w:r>
        <w:rPr>
          <w:rFonts w:hint="eastAsia" w:ascii="楷体" w:hAnsi="楷体" w:eastAsia="楷体" w:cs="楷体"/>
          <w:color w:val="auto"/>
          <w:sz w:val="30"/>
          <w:szCs w:val="30"/>
          <w:lang w:val="zh-CN"/>
        </w:rPr>
        <w:t>有新建科室或科室因装修、科室调整的需求时，协助科室对信息设备进行搬迁配置。包括</w:t>
      </w:r>
      <w:r>
        <w:rPr>
          <w:rFonts w:hint="eastAsia" w:ascii="楷体" w:hAnsi="楷体" w:eastAsia="楷体" w:cs="楷体"/>
          <w:color w:val="auto"/>
          <w:sz w:val="30"/>
          <w:szCs w:val="30"/>
        </w:rPr>
        <w:t>但不限于</w:t>
      </w:r>
      <w:r>
        <w:rPr>
          <w:rFonts w:hint="eastAsia" w:ascii="楷体" w:hAnsi="楷体" w:eastAsia="楷体" w:cs="楷体"/>
          <w:color w:val="auto"/>
          <w:sz w:val="30"/>
          <w:szCs w:val="30"/>
          <w:lang w:val="zh-CN"/>
        </w:rPr>
        <w:t>搬迁前的信息设备拆卸，装修完成后信息点的测试，搬迁后的信息设备安装、连接、配置，线路整理等</w:t>
      </w:r>
      <w:r>
        <w:rPr>
          <w:rFonts w:hint="eastAsia" w:ascii="楷体" w:hAnsi="楷体" w:eastAsia="楷体" w:cs="楷体"/>
          <w:color w:val="auto"/>
          <w:sz w:val="30"/>
          <w:szCs w:val="30"/>
        </w:rPr>
        <w:t>服务</w:t>
      </w:r>
      <w:r>
        <w:rPr>
          <w:rFonts w:hint="eastAsia" w:ascii="楷体" w:hAnsi="楷体" w:eastAsia="楷体" w:cs="楷体"/>
          <w:color w:val="auto"/>
          <w:sz w:val="30"/>
          <w:szCs w:val="30"/>
          <w:lang w:val="zh-CN"/>
        </w:rPr>
        <w:t>。</w:t>
      </w:r>
    </w:p>
    <w:p w14:paraId="1148A4DD">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6、报障服务台服务</w:t>
      </w:r>
    </w:p>
    <w:p w14:paraId="2AE9757F">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（1）服务内容</w:t>
      </w:r>
    </w:p>
    <w:p w14:paraId="594D605A">
      <w:pPr>
        <w:pStyle w:val="2"/>
        <w:ind w:firstLine="600" w:firstLineChars="200"/>
        <w:rPr>
          <w:rFonts w:hint="eastAsia" w:ascii="楷体" w:hAnsi="楷体" w:eastAsia="楷体" w:cs="楷体"/>
          <w:strike/>
          <w:color w:val="auto"/>
          <w:sz w:val="30"/>
          <w:szCs w:val="30"/>
          <w:lang w:val="zh-CN"/>
        </w:rPr>
      </w:pPr>
      <w:r>
        <w:rPr>
          <w:rFonts w:hint="eastAsia" w:ascii="楷体" w:hAnsi="楷体" w:eastAsia="楷体" w:cs="楷体"/>
          <w:color w:val="auto"/>
          <w:sz w:val="30"/>
          <w:szCs w:val="30"/>
          <w:lang w:val="zh-CN"/>
        </w:rPr>
        <w:t>为了提升对采购人的服务质量并高效响应各类故障，投标人在中山大学孙逸仙纪念医院内部建立了统一的信息报障服务中心（服务台）。该中心需至少配置一名专业的服务台坐席人员，负责接听采购人的报障电话，进行任务分配与调度，解答故障和技术知识相关咨询，提供简单故障处理的电话指导，同时，还需对故障事件进行详细的录入和持续跟踪，确保每一个故障都能得到及时有效的处理。</w:t>
      </w:r>
    </w:p>
    <w:p w14:paraId="08764706">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（2）服务要求及指标</w:t>
      </w:r>
    </w:p>
    <w:p w14:paraId="3C8F5AFD">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①电话接听延时≤1分钟，故障录入率在99%</w:t>
      </w:r>
      <w:r>
        <w:rPr>
          <w:rFonts w:hint="eastAsia" w:ascii="楷体" w:hAnsi="楷体" w:eastAsia="楷体" w:cs="楷体"/>
          <w:color w:val="auto"/>
          <w:sz w:val="30"/>
          <w:szCs w:val="30"/>
        </w:rPr>
        <w:t>及</w:t>
      </w:r>
      <w:r>
        <w:rPr>
          <w:rFonts w:hint="eastAsia" w:ascii="楷体" w:hAnsi="楷体" w:eastAsia="楷体" w:cs="楷体"/>
          <w:color w:val="auto"/>
          <w:sz w:val="30"/>
          <w:szCs w:val="30"/>
          <w:lang w:val="zh-CN"/>
        </w:rPr>
        <w:t>以上；</w:t>
      </w:r>
    </w:p>
    <w:p w14:paraId="62A28362">
      <w:pPr>
        <w:pStyle w:val="2"/>
        <w:rPr>
          <w:rFonts w:hint="eastAsia" w:ascii="楷体" w:hAnsi="楷体" w:eastAsia="楷体" w:cs="楷体"/>
          <w:color w:val="auto"/>
          <w:sz w:val="30"/>
          <w:szCs w:val="30"/>
        </w:rPr>
      </w:pPr>
      <w:r>
        <w:rPr>
          <w:rFonts w:hint="eastAsia" w:ascii="楷体" w:hAnsi="楷体" w:eastAsia="楷体" w:cs="楷体"/>
          <w:color w:val="auto"/>
          <w:sz w:val="30"/>
          <w:szCs w:val="30"/>
          <w:lang w:val="zh-CN"/>
        </w:rPr>
        <w:t>②现场服务台作为医院信息化服务的唯一窗口，提供</w:t>
      </w:r>
      <w:r>
        <w:rPr>
          <w:rFonts w:hint="eastAsia" w:ascii="楷体" w:hAnsi="楷体" w:eastAsia="楷体" w:cs="楷体"/>
          <w:color w:val="auto"/>
          <w:sz w:val="30"/>
          <w:szCs w:val="30"/>
        </w:rPr>
        <w:t>采购人信息报障</w:t>
      </w:r>
      <w:r>
        <w:rPr>
          <w:rFonts w:hint="eastAsia" w:ascii="楷体" w:hAnsi="楷体" w:eastAsia="楷体" w:cs="楷体"/>
          <w:color w:val="auto"/>
          <w:sz w:val="30"/>
          <w:szCs w:val="30"/>
          <w:lang w:val="zh-CN"/>
        </w:rPr>
        <w:t>服务</w:t>
      </w:r>
      <w:r>
        <w:rPr>
          <w:rFonts w:hint="eastAsia" w:ascii="楷体" w:hAnsi="楷体" w:eastAsia="楷体" w:cs="楷体"/>
          <w:color w:val="auto"/>
          <w:sz w:val="30"/>
          <w:szCs w:val="30"/>
        </w:rPr>
        <w:t>的</w:t>
      </w:r>
      <w:r>
        <w:rPr>
          <w:rFonts w:hint="eastAsia" w:ascii="楷体" w:hAnsi="楷体" w:eastAsia="楷体" w:cs="楷体"/>
          <w:color w:val="auto"/>
          <w:sz w:val="30"/>
          <w:szCs w:val="30"/>
          <w:lang w:val="zh-CN"/>
        </w:rPr>
        <w:t>受理和进度</w:t>
      </w:r>
      <w:r>
        <w:rPr>
          <w:rFonts w:hint="eastAsia" w:ascii="楷体" w:hAnsi="楷体" w:eastAsia="楷体" w:cs="楷体"/>
          <w:color w:val="auto"/>
          <w:sz w:val="30"/>
          <w:szCs w:val="30"/>
        </w:rPr>
        <w:t>跟进</w:t>
      </w:r>
      <w:r>
        <w:rPr>
          <w:rFonts w:hint="eastAsia" w:ascii="楷体" w:hAnsi="楷体" w:eastAsia="楷体" w:cs="楷体"/>
          <w:color w:val="auto"/>
          <w:sz w:val="30"/>
          <w:szCs w:val="30"/>
          <w:lang w:val="zh-CN"/>
        </w:rPr>
        <w:t>以及结果反馈的窗口服务。同时，对本项目和已被书面授权协助跟踪的其他服务项目</w:t>
      </w:r>
      <w:r>
        <w:rPr>
          <w:rFonts w:hint="eastAsia" w:ascii="楷体" w:hAnsi="楷体" w:eastAsia="楷体" w:cs="楷体"/>
          <w:color w:val="auto"/>
          <w:sz w:val="30"/>
          <w:szCs w:val="30"/>
        </w:rPr>
        <w:t>进</w:t>
      </w:r>
      <w:r>
        <w:rPr>
          <w:rFonts w:hint="eastAsia" w:ascii="楷体" w:hAnsi="楷体" w:eastAsia="楷体" w:cs="楷体"/>
          <w:color w:val="auto"/>
          <w:sz w:val="30"/>
          <w:szCs w:val="30"/>
          <w:lang w:val="zh-CN"/>
        </w:rPr>
        <w:t>行监督和质量管理，</w:t>
      </w:r>
      <w:r>
        <w:rPr>
          <w:rFonts w:hint="eastAsia" w:ascii="楷体" w:hAnsi="楷体" w:eastAsia="楷体" w:cs="楷体"/>
          <w:color w:val="auto"/>
          <w:sz w:val="30"/>
          <w:szCs w:val="30"/>
        </w:rPr>
        <w:t>包括但不限于承担监管服务进度和状态以及反馈服务结果的服务。如遇</w:t>
      </w:r>
      <w:r>
        <w:rPr>
          <w:rFonts w:hint="eastAsia" w:ascii="楷体" w:hAnsi="楷体" w:eastAsia="楷体" w:cs="楷体"/>
          <w:color w:val="auto"/>
          <w:sz w:val="30"/>
          <w:szCs w:val="30"/>
          <w:lang w:val="zh-CN"/>
        </w:rPr>
        <w:t>事件升级，</w:t>
      </w:r>
      <w:r>
        <w:rPr>
          <w:rFonts w:hint="eastAsia" w:ascii="楷体" w:hAnsi="楷体" w:eastAsia="楷体" w:cs="楷体"/>
          <w:color w:val="auto"/>
          <w:sz w:val="30"/>
          <w:szCs w:val="30"/>
        </w:rPr>
        <w:t>须</w:t>
      </w:r>
      <w:r>
        <w:rPr>
          <w:rFonts w:hint="eastAsia" w:ascii="楷体" w:hAnsi="楷体" w:eastAsia="楷体" w:cs="楷体"/>
          <w:color w:val="auto"/>
          <w:sz w:val="30"/>
          <w:szCs w:val="30"/>
          <w:lang w:val="zh-CN"/>
        </w:rPr>
        <w:t>及</w:t>
      </w:r>
      <w:r>
        <w:rPr>
          <w:rFonts w:hint="eastAsia" w:ascii="楷体" w:hAnsi="楷体" w:eastAsia="楷体" w:cs="楷体"/>
          <w:color w:val="auto"/>
          <w:sz w:val="30"/>
          <w:szCs w:val="30"/>
        </w:rPr>
        <w:t>时</w:t>
      </w:r>
      <w:r>
        <w:rPr>
          <w:rFonts w:hint="eastAsia" w:ascii="楷体" w:hAnsi="楷体" w:eastAsia="楷体" w:cs="楷体"/>
          <w:color w:val="auto"/>
          <w:sz w:val="30"/>
          <w:szCs w:val="30"/>
          <w:lang w:val="zh-CN"/>
        </w:rPr>
        <w:t>提醒</w:t>
      </w:r>
      <w:r>
        <w:rPr>
          <w:rFonts w:hint="eastAsia" w:ascii="楷体" w:hAnsi="楷体" w:eastAsia="楷体" w:cs="楷体"/>
          <w:color w:val="auto"/>
          <w:sz w:val="30"/>
          <w:szCs w:val="30"/>
        </w:rPr>
        <w:t>采购人。</w:t>
      </w:r>
    </w:p>
    <w:p w14:paraId="0F9740E3">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③服务台座席需要将</w:t>
      </w:r>
      <w:r>
        <w:rPr>
          <w:rFonts w:hint="eastAsia" w:ascii="楷体" w:hAnsi="楷体" w:eastAsia="楷体" w:cs="楷体"/>
          <w:color w:val="auto"/>
          <w:sz w:val="30"/>
          <w:szCs w:val="30"/>
        </w:rPr>
        <w:t>故障</w:t>
      </w:r>
      <w:r>
        <w:rPr>
          <w:rFonts w:hint="eastAsia" w:ascii="楷体" w:hAnsi="楷体" w:eastAsia="楷体" w:cs="楷体"/>
          <w:color w:val="auto"/>
          <w:sz w:val="30"/>
          <w:szCs w:val="30"/>
          <w:lang w:val="zh-CN"/>
        </w:rPr>
        <w:t>信息</w:t>
      </w:r>
      <w:r>
        <w:rPr>
          <w:rFonts w:hint="eastAsia" w:ascii="楷体" w:hAnsi="楷体" w:eastAsia="楷体" w:cs="楷体"/>
          <w:color w:val="auto"/>
          <w:sz w:val="30"/>
          <w:szCs w:val="30"/>
        </w:rPr>
        <w:t>或其他相关信息</w:t>
      </w:r>
      <w:r>
        <w:rPr>
          <w:rFonts w:hint="eastAsia" w:ascii="楷体" w:hAnsi="楷体" w:eastAsia="楷体" w:cs="楷体"/>
          <w:color w:val="auto"/>
          <w:sz w:val="30"/>
          <w:szCs w:val="30"/>
          <w:lang w:val="zh-CN"/>
        </w:rPr>
        <w:t>录入系统生成服务工单，</w:t>
      </w:r>
      <w:r>
        <w:rPr>
          <w:rFonts w:hint="eastAsia" w:ascii="楷体" w:hAnsi="楷体" w:eastAsia="楷体" w:cs="楷体"/>
          <w:color w:val="auto"/>
          <w:sz w:val="30"/>
          <w:szCs w:val="30"/>
        </w:rPr>
        <w:t>信息途径的获取包括但不限于</w:t>
      </w:r>
      <w:r>
        <w:rPr>
          <w:rFonts w:hint="eastAsia" w:ascii="楷体" w:hAnsi="楷体" w:eastAsia="楷体" w:cs="楷体"/>
          <w:color w:val="auto"/>
          <w:sz w:val="30"/>
          <w:szCs w:val="30"/>
          <w:lang w:val="zh-CN"/>
        </w:rPr>
        <w:t>接听电话或</w:t>
      </w:r>
      <w:r>
        <w:rPr>
          <w:rFonts w:hint="eastAsia" w:ascii="楷体" w:hAnsi="楷体" w:eastAsia="楷体" w:cs="楷体"/>
          <w:color w:val="auto"/>
          <w:sz w:val="30"/>
          <w:szCs w:val="30"/>
        </w:rPr>
        <w:t>其他途径</w:t>
      </w:r>
      <w:r>
        <w:rPr>
          <w:rFonts w:hint="eastAsia" w:ascii="楷体" w:hAnsi="楷体" w:eastAsia="楷体" w:cs="楷体"/>
          <w:color w:val="auto"/>
          <w:sz w:val="30"/>
          <w:szCs w:val="30"/>
          <w:lang w:val="zh-CN"/>
        </w:rPr>
        <w:t>接</w:t>
      </w:r>
      <w:r>
        <w:rPr>
          <w:rFonts w:hint="eastAsia" w:ascii="楷体" w:hAnsi="楷体" w:eastAsia="楷体" w:cs="楷体"/>
          <w:color w:val="auto"/>
          <w:sz w:val="30"/>
          <w:szCs w:val="30"/>
        </w:rPr>
        <w:t>收的报修或报障</w:t>
      </w:r>
      <w:r>
        <w:rPr>
          <w:rFonts w:hint="eastAsia" w:ascii="楷体" w:hAnsi="楷体" w:eastAsia="楷体" w:cs="楷体"/>
          <w:color w:val="auto"/>
          <w:sz w:val="30"/>
          <w:szCs w:val="30"/>
          <w:lang w:val="zh-CN"/>
        </w:rPr>
        <w:t>信息。未经服务台录入系统产生的工单若发生投诉，一律视为</w:t>
      </w:r>
      <w:r>
        <w:rPr>
          <w:rFonts w:hint="eastAsia" w:ascii="楷体" w:hAnsi="楷体" w:eastAsia="楷体" w:cs="楷体"/>
          <w:color w:val="auto"/>
          <w:sz w:val="30"/>
          <w:szCs w:val="30"/>
        </w:rPr>
        <w:t>对中标人的</w:t>
      </w:r>
      <w:r>
        <w:rPr>
          <w:rFonts w:hint="eastAsia" w:ascii="楷体" w:hAnsi="楷体" w:eastAsia="楷体" w:cs="楷体"/>
          <w:color w:val="auto"/>
          <w:sz w:val="30"/>
          <w:szCs w:val="30"/>
          <w:lang w:val="zh-CN"/>
        </w:rPr>
        <w:t>有效投诉。</w:t>
      </w:r>
    </w:p>
    <w:p w14:paraId="38A108BA">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④驻场工程师在完成服务后当天必须向服务台汇报服务过程或结果。完成的工单当天必须关单，未能完成</w:t>
      </w:r>
      <w:r>
        <w:rPr>
          <w:rFonts w:hint="eastAsia" w:ascii="楷体" w:hAnsi="楷体" w:eastAsia="楷体" w:cs="楷体"/>
          <w:color w:val="auto"/>
          <w:sz w:val="30"/>
          <w:szCs w:val="30"/>
        </w:rPr>
        <w:t>的</w:t>
      </w:r>
      <w:r>
        <w:rPr>
          <w:rFonts w:hint="eastAsia" w:ascii="楷体" w:hAnsi="楷体" w:eastAsia="楷体" w:cs="楷体"/>
          <w:color w:val="auto"/>
          <w:sz w:val="30"/>
          <w:szCs w:val="30"/>
          <w:lang w:val="zh-CN"/>
        </w:rPr>
        <w:t>工单必须备注说明原因</w:t>
      </w:r>
      <w:r>
        <w:rPr>
          <w:rFonts w:hint="eastAsia" w:ascii="楷体" w:hAnsi="楷体" w:eastAsia="楷体" w:cs="楷体"/>
          <w:color w:val="auto"/>
          <w:sz w:val="30"/>
          <w:szCs w:val="30"/>
        </w:rPr>
        <w:t>和备注预计完成</w:t>
      </w:r>
      <w:r>
        <w:rPr>
          <w:rFonts w:hint="eastAsia" w:ascii="楷体" w:hAnsi="楷体" w:eastAsia="楷体" w:cs="楷体"/>
          <w:color w:val="auto"/>
          <w:sz w:val="30"/>
          <w:szCs w:val="30"/>
          <w:lang w:val="zh-CN"/>
        </w:rPr>
        <w:t>处理</w:t>
      </w:r>
      <w:r>
        <w:rPr>
          <w:rFonts w:hint="eastAsia" w:ascii="楷体" w:hAnsi="楷体" w:eastAsia="楷体" w:cs="楷体"/>
          <w:color w:val="auto"/>
          <w:sz w:val="30"/>
          <w:szCs w:val="30"/>
        </w:rPr>
        <w:t>的</w:t>
      </w:r>
      <w:r>
        <w:rPr>
          <w:rFonts w:hint="eastAsia" w:ascii="楷体" w:hAnsi="楷体" w:eastAsia="楷体" w:cs="楷体"/>
          <w:color w:val="auto"/>
          <w:sz w:val="30"/>
          <w:szCs w:val="30"/>
          <w:lang w:val="zh-CN"/>
        </w:rPr>
        <w:t>时间。</w:t>
      </w:r>
    </w:p>
    <w:p w14:paraId="14D88D42">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⑤当发现故障非本项目</w:t>
      </w:r>
      <w:r>
        <w:rPr>
          <w:rFonts w:hint="eastAsia" w:ascii="楷体" w:hAnsi="楷体" w:eastAsia="楷体" w:cs="楷体"/>
          <w:color w:val="auto"/>
          <w:sz w:val="30"/>
          <w:szCs w:val="30"/>
        </w:rPr>
        <w:t>维保</w:t>
      </w:r>
      <w:r>
        <w:rPr>
          <w:rFonts w:hint="eastAsia" w:ascii="楷体" w:hAnsi="楷体" w:eastAsia="楷体" w:cs="楷体"/>
          <w:color w:val="auto"/>
          <w:sz w:val="30"/>
          <w:szCs w:val="30"/>
          <w:lang w:val="zh-CN"/>
        </w:rPr>
        <w:t>服务范围时，系统关单同时关联生成新的工单，并由服务台</w:t>
      </w:r>
      <w:r>
        <w:rPr>
          <w:rFonts w:hint="eastAsia" w:ascii="楷体" w:hAnsi="楷体" w:eastAsia="楷体" w:cs="楷体"/>
          <w:color w:val="auto"/>
          <w:sz w:val="30"/>
          <w:szCs w:val="30"/>
        </w:rPr>
        <w:t>负责联系</w:t>
      </w:r>
      <w:r>
        <w:rPr>
          <w:rFonts w:hint="eastAsia" w:ascii="楷体" w:hAnsi="楷体" w:eastAsia="楷体" w:cs="楷体"/>
          <w:color w:val="auto"/>
          <w:sz w:val="30"/>
          <w:szCs w:val="30"/>
          <w:lang w:val="zh-CN"/>
        </w:rPr>
        <w:t>相应服务供应商或</w:t>
      </w:r>
      <w:r>
        <w:rPr>
          <w:rFonts w:hint="eastAsia" w:ascii="楷体" w:hAnsi="楷体" w:eastAsia="楷体" w:cs="楷体"/>
          <w:color w:val="auto"/>
          <w:sz w:val="30"/>
          <w:szCs w:val="30"/>
        </w:rPr>
        <w:t>转交</w:t>
      </w:r>
      <w:r>
        <w:rPr>
          <w:rFonts w:hint="eastAsia" w:ascii="楷体" w:hAnsi="楷体" w:eastAsia="楷体" w:cs="楷体"/>
          <w:color w:val="auto"/>
          <w:sz w:val="30"/>
          <w:szCs w:val="30"/>
          <w:lang w:val="zh-CN"/>
        </w:rPr>
        <w:t>相应负责人跟进处理。</w:t>
      </w:r>
    </w:p>
    <w:p w14:paraId="52AFCD9B">
      <w:pPr>
        <w:pStyle w:val="2"/>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⑥服务台坐席人员每天下班前必须</w:t>
      </w:r>
      <w:r>
        <w:rPr>
          <w:rFonts w:hint="eastAsia" w:ascii="楷体" w:hAnsi="楷体" w:eastAsia="楷体" w:cs="楷体"/>
          <w:color w:val="auto"/>
          <w:sz w:val="30"/>
          <w:szCs w:val="30"/>
        </w:rPr>
        <w:t>对</w:t>
      </w:r>
      <w:r>
        <w:rPr>
          <w:rFonts w:hint="eastAsia" w:ascii="楷体" w:hAnsi="楷体" w:eastAsia="楷体" w:cs="楷体"/>
          <w:color w:val="auto"/>
          <w:sz w:val="30"/>
          <w:szCs w:val="30"/>
          <w:lang w:val="zh-CN"/>
        </w:rPr>
        <w:t>本项目和已被书面授权协助跟</w:t>
      </w:r>
      <w:r>
        <w:rPr>
          <w:rFonts w:hint="eastAsia" w:ascii="楷体" w:hAnsi="楷体" w:eastAsia="楷体" w:cs="楷体"/>
          <w:color w:val="auto"/>
          <w:sz w:val="30"/>
          <w:szCs w:val="30"/>
        </w:rPr>
        <w:t>进</w:t>
      </w:r>
      <w:r>
        <w:rPr>
          <w:rFonts w:hint="eastAsia" w:ascii="楷体" w:hAnsi="楷体" w:eastAsia="楷体" w:cs="楷体"/>
          <w:color w:val="auto"/>
          <w:sz w:val="30"/>
          <w:szCs w:val="30"/>
          <w:lang w:val="zh-CN"/>
        </w:rPr>
        <w:t>的其他项目</w:t>
      </w:r>
      <w:r>
        <w:rPr>
          <w:rFonts w:hint="eastAsia" w:ascii="楷体" w:hAnsi="楷体" w:eastAsia="楷体" w:cs="楷体"/>
          <w:color w:val="auto"/>
          <w:sz w:val="30"/>
          <w:szCs w:val="30"/>
        </w:rPr>
        <w:t>进度情况进行梳理，对</w:t>
      </w:r>
      <w:r>
        <w:rPr>
          <w:rFonts w:hint="eastAsia" w:ascii="楷体" w:hAnsi="楷体" w:eastAsia="楷体" w:cs="楷体"/>
          <w:color w:val="auto"/>
          <w:sz w:val="30"/>
          <w:szCs w:val="30"/>
          <w:lang w:val="zh-CN"/>
        </w:rPr>
        <w:t>未完成服务的处理状态或结果</w:t>
      </w:r>
      <w:r>
        <w:rPr>
          <w:rFonts w:hint="eastAsia" w:ascii="楷体" w:hAnsi="楷体" w:eastAsia="楷体" w:cs="楷体"/>
          <w:color w:val="auto"/>
          <w:sz w:val="30"/>
          <w:szCs w:val="30"/>
        </w:rPr>
        <w:t>进行单独梳理并继续跟进</w:t>
      </w:r>
      <w:r>
        <w:rPr>
          <w:rFonts w:hint="eastAsia" w:ascii="楷体" w:hAnsi="楷体" w:eastAsia="楷体" w:cs="楷体"/>
          <w:color w:val="auto"/>
          <w:sz w:val="30"/>
          <w:szCs w:val="30"/>
          <w:lang w:val="zh-CN"/>
        </w:rPr>
        <w:t>，直到最后完成关单为止。</w:t>
      </w:r>
    </w:p>
    <w:p w14:paraId="3D6F88BA">
      <w:pPr>
        <w:numPr>
          <w:ilvl w:val="255"/>
          <w:numId w:val="0"/>
        </w:numPr>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rPr>
        <w:t>7、其他</w:t>
      </w:r>
      <w:r>
        <w:rPr>
          <w:rFonts w:hint="eastAsia" w:ascii="楷体" w:hAnsi="楷体" w:eastAsia="楷体" w:cs="楷体"/>
          <w:b/>
          <w:bCs/>
          <w:color w:val="auto"/>
          <w:sz w:val="30"/>
          <w:szCs w:val="30"/>
          <w:lang w:val="zh-CN"/>
        </w:rPr>
        <w:t>常规服务内容</w:t>
      </w:r>
    </w:p>
    <w:p w14:paraId="7ADD241A">
      <w:pPr>
        <w:kinsoku w:val="0"/>
        <w:overflowPunct w:val="0"/>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）常规安全服务：防杀病毒、系统补丁、数据备份等；</w:t>
      </w:r>
    </w:p>
    <w:p w14:paraId="10BF062A">
      <w:pPr>
        <w:kinsoku w:val="0"/>
        <w:overflowPunct w:val="0"/>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）提供服务报表：如：IT设备的故障分析和采购建议等；</w:t>
      </w:r>
    </w:p>
    <w:p w14:paraId="0B5C3188">
      <w:pPr>
        <w:kinsoku w:val="0"/>
        <w:overflowPunct w:val="0"/>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）服务专线支持：设立服务报修专线和24小时电话支持；</w:t>
      </w:r>
    </w:p>
    <w:p w14:paraId="6AE4F1B1">
      <w:pPr>
        <w:pStyle w:val="2"/>
        <w:numPr>
          <w:ilvl w:val="255"/>
          <w:numId w:val="0"/>
        </w:numPr>
        <w:rPr>
          <w:rFonts w:hint="eastAsia" w:ascii="楷体" w:hAnsi="楷体" w:eastAsia="楷体" w:cs="楷体"/>
          <w:color w:val="auto"/>
          <w:sz w:val="30"/>
          <w:szCs w:val="30"/>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）咨询和配送服务：各类IT产品的性能和价格的咨询及配送等服务</w:t>
      </w:r>
      <w:r>
        <w:rPr>
          <w:rFonts w:hint="eastAsia" w:ascii="楷体" w:hAnsi="楷体" w:eastAsia="楷体" w:cs="楷体"/>
          <w:color w:val="auto"/>
          <w:sz w:val="30"/>
          <w:szCs w:val="30"/>
        </w:rPr>
        <w:t>。</w:t>
      </w:r>
    </w:p>
    <w:p w14:paraId="6C18F17C">
      <w:pPr>
        <w:widowControl/>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）协助处理</w:t>
      </w:r>
      <w:r>
        <w:rPr>
          <w:rFonts w:hint="eastAsia" w:ascii="楷体" w:hAnsi="楷体" w:eastAsia="楷体" w:cs="楷体"/>
          <w:color w:val="auto"/>
          <w:sz w:val="30"/>
          <w:szCs w:val="30"/>
        </w:rPr>
        <w:t>以上未提及的</w:t>
      </w:r>
      <w:r>
        <w:rPr>
          <w:rFonts w:hint="eastAsia" w:ascii="楷体" w:hAnsi="楷体" w:eastAsia="楷体" w:cs="楷体"/>
          <w:color w:val="auto"/>
          <w:sz w:val="30"/>
          <w:szCs w:val="30"/>
          <w:lang w:val="zh-CN"/>
        </w:rPr>
        <w:t>计算机、打印机等桌面终端相关工作。</w:t>
      </w:r>
    </w:p>
    <w:p w14:paraId="13F50854">
      <w:pPr>
        <w:widowControl/>
        <w:spacing w:line="360" w:lineRule="auto"/>
        <w:jc w:val="left"/>
        <w:rPr>
          <w:rFonts w:hint="eastAsia" w:ascii="楷体" w:hAnsi="楷体" w:eastAsia="楷体" w:cs="楷体"/>
          <w:b/>
          <w:bCs/>
          <w:color w:val="auto"/>
          <w:sz w:val="30"/>
          <w:szCs w:val="30"/>
        </w:rPr>
      </w:pPr>
      <w:r>
        <w:rPr>
          <w:rFonts w:hint="eastAsia" w:ascii="楷体" w:hAnsi="楷体" w:eastAsia="楷体" w:cs="楷体"/>
          <w:b/>
          <w:bCs/>
          <w:color w:val="auto"/>
          <w:sz w:val="30"/>
          <w:szCs w:val="30"/>
          <w:lang w:val="zh-CN"/>
        </w:rPr>
        <w:t>（</w:t>
      </w:r>
      <w:r>
        <w:rPr>
          <w:rFonts w:hint="eastAsia" w:ascii="楷体" w:hAnsi="楷体" w:eastAsia="楷体" w:cs="楷体"/>
          <w:b/>
          <w:bCs/>
          <w:color w:val="auto"/>
          <w:sz w:val="30"/>
          <w:szCs w:val="30"/>
        </w:rPr>
        <w:t>三</w:t>
      </w:r>
      <w:r>
        <w:rPr>
          <w:rFonts w:hint="eastAsia" w:ascii="楷体" w:hAnsi="楷体" w:eastAsia="楷体" w:cs="楷体"/>
          <w:b/>
          <w:bCs/>
          <w:color w:val="auto"/>
          <w:sz w:val="30"/>
          <w:szCs w:val="30"/>
          <w:lang w:val="zh-CN"/>
        </w:rPr>
        <w:t>）维护服务时间</w:t>
      </w:r>
      <w:r>
        <w:rPr>
          <w:rFonts w:hint="eastAsia" w:ascii="楷体" w:hAnsi="楷体" w:eastAsia="楷体" w:cs="楷体"/>
          <w:b/>
          <w:bCs/>
          <w:color w:val="auto"/>
          <w:sz w:val="30"/>
          <w:szCs w:val="30"/>
        </w:rPr>
        <w:t>及人员安排</w:t>
      </w:r>
    </w:p>
    <w:p w14:paraId="3A4D2FBF">
      <w:pPr>
        <w:pStyle w:val="62"/>
        <w:adjustRightInd w:val="0"/>
        <w:snapToGrid w:val="0"/>
        <w:spacing w:line="360" w:lineRule="auto"/>
        <w:ind w:firstLine="600" w:firstLineChars="200"/>
        <w:rPr>
          <w:rFonts w:hint="eastAsia" w:ascii="楷体" w:hAnsi="楷体" w:eastAsia="楷体" w:cs="楷体"/>
          <w:color w:val="auto"/>
          <w:kern w:val="2"/>
          <w:sz w:val="30"/>
          <w:szCs w:val="30"/>
          <w:lang w:val="zh-CN" w:eastAsia="zh-CN"/>
        </w:rPr>
      </w:pPr>
      <w:r>
        <w:rPr>
          <w:rFonts w:hint="eastAsia" w:ascii="楷体" w:hAnsi="楷体" w:eastAsia="楷体" w:cs="楷体"/>
          <w:color w:val="auto"/>
          <w:kern w:val="2"/>
          <w:sz w:val="30"/>
          <w:szCs w:val="30"/>
          <w:lang w:val="zh-CN" w:eastAsia="zh-CN"/>
        </w:rPr>
        <w:t>自本项目合同生效之日起计，中标人应在10个工作日内完成进场工作，并常驻采购人指定的办公区。</w:t>
      </w:r>
    </w:p>
    <w:p w14:paraId="3E2D72D3">
      <w:pPr>
        <w:pStyle w:val="62"/>
        <w:adjustRightInd w:val="0"/>
        <w:snapToGrid w:val="0"/>
        <w:spacing w:line="360" w:lineRule="auto"/>
        <w:ind w:firstLine="600" w:firstLineChars="200"/>
        <w:rPr>
          <w:rFonts w:hint="eastAsia" w:ascii="楷体" w:hAnsi="楷体" w:eastAsia="楷体" w:cs="楷体"/>
          <w:color w:val="auto"/>
          <w:kern w:val="2"/>
          <w:sz w:val="30"/>
          <w:szCs w:val="30"/>
          <w:lang w:val="zh-CN" w:eastAsia="zh-CN"/>
        </w:rPr>
      </w:pPr>
      <w:r>
        <w:rPr>
          <w:rFonts w:hint="eastAsia" w:ascii="楷体" w:hAnsi="楷体" w:eastAsia="楷体" w:cs="楷体"/>
          <w:color w:val="auto"/>
          <w:kern w:val="2"/>
          <w:sz w:val="30"/>
          <w:szCs w:val="30"/>
          <w:lang w:val="zh-CN" w:eastAsia="zh-CN"/>
        </w:rPr>
        <w:t>考虑到医疗服务的性质要求全年无间断的服务，结合采购人的实际情况，要求中标人安排固定的人员驻守在采购人现场提供服务。此外，还应安排二线支持团队在场外24小时候备勤。关于驻守人数、时间和场外备勤人员的要求如下：</w:t>
      </w:r>
    </w:p>
    <w:p w14:paraId="709AEA95">
      <w:pPr>
        <w:widowControl/>
        <w:numPr>
          <w:ilvl w:val="0"/>
          <w:numId w:val="0"/>
        </w:numPr>
        <w:snapToGrid w:val="0"/>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(1)</w:t>
      </w:r>
      <w:r>
        <w:rPr>
          <w:rFonts w:hint="eastAsia" w:ascii="楷体" w:hAnsi="楷体" w:eastAsia="楷体" w:cs="楷体"/>
          <w:color w:val="auto"/>
          <w:sz w:val="30"/>
          <w:szCs w:val="30"/>
          <w:lang w:val="zh-CN"/>
        </w:rPr>
        <w:t>北院区、南院区工作日：</w:t>
      </w:r>
    </w:p>
    <w:p w14:paraId="02263F7B">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bookmarkStart w:id="6" w:name="_Hlk181255994"/>
      <w:r>
        <w:rPr>
          <w:rFonts w:hint="eastAsia" w:ascii="楷体" w:hAnsi="楷体" w:eastAsia="楷体" w:cs="楷体"/>
          <w:color w:val="auto"/>
          <w:kern w:val="2"/>
          <w:sz w:val="30"/>
          <w:szCs w:val="30"/>
          <w:lang w:val="zh-CN" w:eastAsia="zh-CN" w:bidi="ar-SA"/>
        </w:rPr>
        <w:t>①</w:t>
      </w:r>
      <w:r>
        <w:rPr>
          <w:rFonts w:hint="eastAsia" w:ascii="楷体" w:hAnsi="楷体" w:eastAsia="楷体" w:cs="楷体"/>
          <w:color w:val="auto"/>
          <w:sz w:val="30"/>
          <w:szCs w:val="30"/>
          <w:lang w:val="zh-CN"/>
        </w:rPr>
        <w:t>8:00—17:30，驻守人数：北院区7人（其中含1人为电话接</w:t>
      </w:r>
      <w:r>
        <w:rPr>
          <w:rFonts w:hint="eastAsia" w:ascii="楷体" w:hAnsi="楷体" w:eastAsia="楷体" w:cs="楷体"/>
          <w:color w:val="auto"/>
          <w:sz w:val="30"/>
          <w:szCs w:val="30"/>
        </w:rPr>
        <w:t>听</w:t>
      </w:r>
      <w:r>
        <w:rPr>
          <w:rFonts w:hint="eastAsia" w:ascii="楷体" w:hAnsi="楷体" w:eastAsia="楷体" w:cs="楷体"/>
          <w:color w:val="auto"/>
          <w:sz w:val="30"/>
          <w:szCs w:val="30"/>
          <w:lang w:val="zh-CN"/>
        </w:rPr>
        <w:t>员），南院区6人；</w:t>
      </w:r>
    </w:p>
    <w:p w14:paraId="105E1426">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②</w:t>
      </w:r>
      <w:r>
        <w:rPr>
          <w:rFonts w:hint="eastAsia" w:ascii="楷体" w:hAnsi="楷体" w:eastAsia="楷体" w:cs="楷体"/>
          <w:color w:val="auto"/>
          <w:sz w:val="30"/>
          <w:szCs w:val="30"/>
          <w:lang w:val="zh-CN"/>
        </w:rPr>
        <w:t>长假（大于等于3天的假期）后第1个工作日全体驻守人员提前15分钟（即7:45）到场；</w:t>
      </w:r>
    </w:p>
    <w:p w14:paraId="0437ADB5">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③</w:t>
      </w:r>
      <w:r>
        <w:rPr>
          <w:rFonts w:hint="eastAsia" w:ascii="楷体" w:hAnsi="楷体" w:eastAsia="楷体" w:cs="楷体"/>
          <w:color w:val="auto"/>
          <w:sz w:val="30"/>
          <w:szCs w:val="30"/>
          <w:lang w:val="zh-CN"/>
        </w:rPr>
        <w:t>时间：17:30—21:00，驻守人数：北院区1人，兼电话接</w:t>
      </w:r>
      <w:r>
        <w:rPr>
          <w:rFonts w:hint="eastAsia" w:ascii="楷体" w:hAnsi="楷体" w:eastAsia="楷体" w:cs="楷体"/>
          <w:color w:val="auto"/>
          <w:sz w:val="30"/>
          <w:szCs w:val="30"/>
        </w:rPr>
        <w:t>听</w:t>
      </w:r>
      <w:r>
        <w:rPr>
          <w:rFonts w:hint="eastAsia" w:ascii="楷体" w:hAnsi="楷体" w:eastAsia="楷体" w:cs="楷体"/>
          <w:color w:val="auto"/>
          <w:sz w:val="30"/>
          <w:szCs w:val="30"/>
          <w:lang w:val="zh-CN"/>
        </w:rPr>
        <w:t>工作。南院区1人，兼电话接</w:t>
      </w:r>
      <w:r>
        <w:rPr>
          <w:rFonts w:hint="eastAsia" w:ascii="楷体" w:hAnsi="楷体" w:eastAsia="楷体" w:cs="楷体"/>
          <w:color w:val="auto"/>
          <w:sz w:val="30"/>
          <w:szCs w:val="30"/>
        </w:rPr>
        <w:t>听</w:t>
      </w:r>
      <w:r>
        <w:rPr>
          <w:rFonts w:hint="eastAsia" w:ascii="楷体" w:hAnsi="楷体" w:eastAsia="楷体" w:cs="楷体"/>
          <w:color w:val="auto"/>
          <w:sz w:val="30"/>
          <w:szCs w:val="30"/>
          <w:lang w:val="zh-CN"/>
        </w:rPr>
        <w:t>工作；</w:t>
      </w:r>
    </w:p>
    <w:p w14:paraId="670FB033">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④</w:t>
      </w:r>
      <w:r>
        <w:rPr>
          <w:rFonts w:hint="eastAsia" w:ascii="楷体" w:hAnsi="楷体" w:eastAsia="楷体" w:cs="楷体"/>
          <w:color w:val="auto"/>
          <w:sz w:val="30"/>
          <w:szCs w:val="30"/>
          <w:lang w:val="zh-CN"/>
        </w:rPr>
        <w:t>每个工作日早上7点，</w:t>
      </w:r>
      <w:r>
        <w:rPr>
          <w:rFonts w:hint="eastAsia" w:ascii="楷体" w:hAnsi="楷体" w:eastAsia="楷体" w:cs="楷体"/>
          <w:color w:val="auto"/>
          <w:sz w:val="30"/>
          <w:szCs w:val="30"/>
        </w:rPr>
        <w:t>中标人应</w:t>
      </w:r>
      <w:r>
        <w:rPr>
          <w:rFonts w:hint="eastAsia" w:ascii="楷体" w:hAnsi="楷体" w:eastAsia="楷体" w:cs="楷体"/>
          <w:color w:val="auto"/>
          <w:sz w:val="30"/>
          <w:szCs w:val="30"/>
          <w:lang w:val="zh-CN"/>
        </w:rPr>
        <w:t>安排至少1名工程师分别到南院和北院区门诊部巡检。</w:t>
      </w:r>
      <w:r>
        <w:rPr>
          <w:rFonts w:hint="eastAsia" w:ascii="楷体" w:hAnsi="楷体" w:eastAsia="楷体" w:cs="楷体"/>
          <w:color w:val="auto"/>
          <w:sz w:val="30"/>
          <w:szCs w:val="30"/>
        </w:rPr>
        <w:t>但如遇突发事件急需中标人处理的，优先处理紧急事件。具体情况由采购人决定。涉及的人员</w:t>
      </w:r>
      <w:r>
        <w:rPr>
          <w:rFonts w:hint="eastAsia" w:ascii="楷体" w:hAnsi="楷体" w:eastAsia="楷体" w:cs="楷体"/>
          <w:color w:val="auto"/>
          <w:sz w:val="30"/>
          <w:szCs w:val="30"/>
          <w:lang w:val="zh-CN"/>
        </w:rPr>
        <w:t>费用</w:t>
      </w:r>
      <w:r>
        <w:rPr>
          <w:rFonts w:hint="eastAsia" w:ascii="楷体" w:hAnsi="楷体" w:eastAsia="楷体" w:cs="楷体"/>
          <w:color w:val="auto"/>
          <w:sz w:val="30"/>
          <w:szCs w:val="30"/>
        </w:rPr>
        <w:t>均由中标人承担，采购人</w:t>
      </w:r>
      <w:r>
        <w:rPr>
          <w:rFonts w:hint="eastAsia" w:ascii="楷体" w:hAnsi="楷体" w:eastAsia="楷体" w:cs="楷体"/>
          <w:color w:val="auto"/>
          <w:sz w:val="30"/>
          <w:szCs w:val="30"/>
          <w:lang w:val="zh-CN"/>
        </w:rPr>
        <w:t>不再另行</w:t>
      </w:r>
      <w:r>
        <w:rPr>
          <w:rFonts w:hint="eastAsia" w:ascii="楷体" w:hAnsi="楷体" w:eastAsia="楷体" w:cs="楷体"/>
          <w:color w:val="auto"/>
          <w:sz w:val="30"/>
          <w:szCs w:val="30"/>
        </w:rPr>
        <w:t>支付</w:t>
      </w:r>
      <w:r>
        <w:rPr>
          <w:rFonts w:hint="eastAsia" w:ascii="楷体" w:hAnsi="楷体" w:eastAsia="楷体" w:cs="楷体"/>
          <w:color w:val="auto"/>
          <w:sz w:val="30"/>
          <w:szCs w:val="30"/>
          <w:lang w:val="zh-CN"/>
        </w:rPr>
        <w:t>。</w:t>
      </w:r>
    </w:p>
    <w:bookmarkEnd w:id="6"/>
    <w:p w14:paraId="5FE77E40">
      <w:pPr>
        <w:widowControl/>
        <w:numPr>
          <w:ilvl w:val="0"/>
          <w:numId w:val="0"/>
        </w:numPr>
        <w:snapToGrid w:val="0"/>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(2)</w:t>
      </w:r>
      <w:r>
        <w:rPr>
          <w:rFonts w:hint="eastAsia" w:ascii="楷体" w:hAnsi="楷体" w:eastAsia="楷体" w:cs="楷体"/>
          <w:color w:val="auto"/>
          <w:sz w:val="30"/>
          <w:szCs w:val="30"/>
          <w:lang w:val="zh-CN"/>
        </w:rPr>
        <w:t>北院区、南院区节假日：</w:t>
      </w:r>
    </w:p>
    <w:p w14:paraId="4EE34267">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①</w:t>
      </w:r>
      <w:r>
        <w:rPr>
          <w:rFonts w:hint="eastAsia" w:ascii="楷体" w:hAnsi="楷体" w:eastAsia="楷体" w:cs="楷体"/>
          <w:color w:val="auto"/>
          <w:sz w:val="30"/>
          <w:szCs w:val="30"/>
          <w:lang w:val="zh-CN"/>
        </w:rPr>
        <w:t>时间：8:00—21:00，驻守人数：北院区1人，兼电话接</w:t>
      </w:r>
      <w:r>
        <w:rPr>
          <w:rFonts w:hint="eastAsia" w:ascii="楷体" w:hAnsi="楷体" w:eastAsia="楷体" w:cs="楷体"/>
          <w:color w:val="auto"/>
          <w:sz w:val="30"/>
          <w:szCs w:val="30"/>
        </w:rPr>
        <w:t>听</w:t>
      </w:r>
      <w:r>
        <w:rPr>
          <w:rFonts w:hint="eastAsia" w:ascii="楷体" w:hAnsi="楷体" w:eastAsia="楷体" w:cs="楷体"/>
          <w:color w:val="auto"/>
          <w:sz w:val="30"/>
          <w:szCs w:val="30"/>
          <w:lang w:val="zh-CN"/>
        </w:rPr>
        <w:t>工作，特殊情况另行通知；</w:t>
      </w:r>
    </w:p>
    <w:p w14:paraId="7F774B7F">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②</w:t>
      </w:r>
      <w:r>
        <w:rPr>
          <w:rFonts w:hint="eastAsia" w:ascii="楷体" w:hAnsi="楷体" w:eastAsia="楷体" w:cs="楷体"/>
          <w:color w:val="auto"/>
          <w:sz w:val="30"/>
          <w:szCs w:val="30"/>
          <w:lang w:val="zh-CN"/>
        </w:rPr>
        <w:t>时间：8:00—21:00，驻守人数：南院区1人，兼电话接</w:t>
      </w:r>
      <w:r>
        <w:rPr>
          <w:rFonts w:hint="eastAsia" w:ascii="楷体" w:hAnsi="楷体" w:eastAsia="楷体" w:cs="楷体"/>
          <w:color w:val="auto"/>
          <w:sz w:val="30"/>
          <w:szCs w:val="30"/>
        </w:rPr>
        <w:t>听</w:t>
      </w:r>
      <w:r>
        <w:rPr>
          <w:rFonts w:hint="eastAsia" w:ascii="楷体" w:hAnsi="楷体" w:eastAsia="楷体" w:cs="楷体"/>
          <w:color w:val="auto"/>
          <w:sz w:val="30"/>
          <w:szCs w:val="30"/>
          <w:lang w:val="zh-CN"/>
        </w:rPr>
        <w:t>工作；特殊情况另行通知。</w:t>
      </w:r>
    </w:p>
    <w:p w14:paraId="1E983E6D">
      <w:pPr>
        <w:widowControl/>
        <w:numPr>
          <w:ilvl w:val="0"/>
          <w:numId w:val="0"/>
        </w:numPr>
        <w:snapToGrid w:val="0"/>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(3)</w:t>
      </w:r>
      <w:r>
        <w:rPr>
          <w:rFonts w:hint="eastAsia" w:ascii="楷体" w:hAnsi="楷体" w:eastAsia="楷体" w:cs="楷体"/>
          <w:color w:val="auto"/>
          <w:sz w:val="30"/>
          <w:szCs w:val="30"/>
          <w:lang w:val="zh-CN"/>
        </w:rPr>
        <w:t>南校园门诊部上班时间及人员：</w:t>
      </w:r>
    </w:p>
    <w:p w14:paraId="519F95AB">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①</w:t>
      </w:r>
      <w:r>
        <w:rPr>
          <w:rFonts w:hint="eastAsia" w:ascii="楷体" w:hAnsi="楷体" w:eastAsia="楷体" w:cs="楷体"/>
          <w:color w:val="auto"/>
          <w:sz w:val="30"/>
          <w:szCs w:val="30"/>
          <w:lang w:val="zh-CN"/>
        </w:rPr>
        <w:t>逢星期二下午14:30—17:30，驻守人数 1人；</w:t>
      </w:r>
    </w:p>
    <w:p w14:paraId="723D9231">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②</w:t>
      </w:r>
      <w:r>
        <w:rPr>
          <w:rFonts w:hint="eastAsia" w:ascii="楷体" w:hAnsi="楷体" w:eastAsia="楷体" w:cs="楷体"/>
          <w:color w:val="auto"/>
          <w:sz w:val="30"/>
          <w:szCs w:val="30"/>
          <w:lang w:val="zh-CN"/>
        </w:rPr>
        <w:t>当逢星期二为节假日时，可在节假日后第一个工作日下午14:30—17:30，派1人驻守；</w:t>
      </w:r>
    </w:p>
    <w:p w14:paraId="3F1E502C">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③</w:t>
      </w:r>
      <w:r>
        <w:rPr>
          <w:rFonts w:hint="eastAsia" w:ascii="楷体" w:hAnsi="楷体" w:eastAsia="楷体" w:cs="楷体"/>
          <w:color w:val="auto"/>
          <w:sz w:val="30"/>
          <w:szCs w:val="30"/>
          <w:lang w:val="zh-CN"/>
        </w:rPr>
        <w:t>如现场科室另有安排，驻守时间可临时变更。</w:t>
      </w:r>
    </w:p>
    <w:p w14:paraId="08F670E5">
      <w:pPr>
        <w:widowControl/>
        <w:numPr>
          <w:ilvl w:val="0"/>
          <w:numId w:val="0"/>
        </w:numPr>
        <w:snapToGrid w:val="0"/>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(4)</w:t>
      </w:r>
      <w:r>
        <w:rPr>
          <w:rFonts w:hint="eastAsia" w:ascii="楷体" w:hAnsi="楷体" w:eastAsia="楷体" w:cs="楷体"/>
          <w:color w:val="auto"/>
          <w:sz w:val="30"/>
          <w:szCs w:val="30"/>
          <w:lang w:val="zh-CN"/>
        </w:rPr>
        <w:t>生物岛实验室上班时间及人员：</w:t>
      </w:r>
    </w:p>
    <w:p w14:paraId="7155AA8D">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①</w:t>
      </w:r>
      <w:r>
        <w:rPr>
          <w:rFonts w:hint="eastAsia" w:ascii="楷体" w:hAnsi="楷体" w:eastAsia="楷体" w:cs="楷体"/>
          <w:color w:val="auto"/>
          <w:sz w:val="30"/>
          <w:szCs w:val="30"/>
          <w:lang w:val="zh-CN"/>
        </w:rPr>
        <w:t>逢星期四下午14:30—17:30，驻守人数1人；</w:t>
      </w:r>
    </w:p>
    <w:p w14:paraId="7E7CC740">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②</w:t>
      </w:r>
      <w:r>
        <w:rPr>
          <w:rFonts w:hint="eastAsia" w:ascii="楷体" w:hAnsi="楷体" w:eastAsia="楷体" w:cs="楷体"/>
          <w:color w:val="auto"/>
          <w:sz w:val="30"/>
          <w:szCs w:val="30"/>
          <w:lang w:val="zh-CN"/>
        </w:rPr>
        <w:t>当逢星期四为节假日时，可在节假日后第一个工作日下午14:30—17:30，派1人驻守；</w:t>
      </w:r>
    </w:p>
    <w:p w14:paraId="13F4CEF9">
      <w:pPr>
        <w:pStyle w:val="32"/>
        <w:numPr>
          <w:ilvl w:val="0"/>
          <w:numId w:val="0"/>
        </w:numPr>
        <w:snapToGrid w:val="0"/>
        <w:spacing w:line="360" w:lineRule="auto"/>
        <w:ind w:left="420" w:leftChars="0" w:firstLine="600" w:firstLineChars="20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③</w:t>
      </w:r>
      <w:r>
        <w:rPr>
          <w:rFonts w:hint="eastAsia" w:ascii="楷体" w:hAnsi="楷体" w:eastAsia="楷体" w:cs="楷体"/>
          <w:color w:val="auto"/>
          <w:sz w:val="30"/>
          <w:szCs w:val="30"/>
          <w:lang w:val="zh-CN"/>
        </w:rPr>
        <w:t>如现场科室另有安排，驻守时间可临时变更。</w:t>
      </w:r>
    </w:p>
    <w:p w14:paraId="31B4EF83">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(5)</w:t>
      </w:r>
      <w:r>
        <w:rPr>
          <w:rFonts w:hint="eastAsia" w:ascii="楷体" w:hAnsi="楷体" w:eastAsia="楷体" w:cs="楷体"/>
          <w:color w:val="auto"/>
          <w:sz w:val="30"/>
          <w:szCs w:val="30"/>
          <w:lang w:val="zh-CN"/>
        </w:rPr>
        <w:t>中标人应在北院区和南院区提供打卡机或打卡软件作为考勤系统，并确保驻守人员在上下班时进行打卡。采购人将担任考勤系统的管理员，负责监督和管理考勤情况。</w:t>
      </w:r>
    </w:p>
    <w:p w14:paraId="05555241">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(6)</w:t>
      </w:r>
      <w:r>
        <w:rPr>
          <w:rFonts w:hint="eastAsia" w:ascii="楷体" w:hAnsi="楷体" w:eastAsia="楷体" w:cs="楷体"/>
          <w:color w:val="auto"/>
          <w:sz w:val="30"/>
          <w:szCs w:val="30"/>
          <w:lang w:val="zh-CN"/>
        </w:rPr>
        <w:t>工作日外时间（</w:t>
      </w:r>
      <w:r>
        <w:rPr>
          <w:rFonts w:hint="eastAsia" w:ascii="楷体" w:hAnsi="楷体" w:eastAsia="楷体" w:cs="楷体"/>
          <w:color w:val="auto"/>
          <w:sz w:val="30"/>
          <w:szCs w:val="30"/>
        </w:rPr>
        <w:t>21:00-次日08:00</w:t>
      </w:r>
      <w:r>
        <w:rPr>
          <w:rFonts w:hint="eastAsia" w:ascii="楷体" w:hAnsi="楷体" w:eastAsia="楷体" w:cs="楷体"/>
          <w:color w:val="auto"/>
          <w:sz w:val="30"/>
          <w:szCs w:val="30"/>
          <w:lang w:val="zh-CN"/>
        </w:rPr>
        <w:t>）和节假日，服务团队中应安排2名维护人员</w:t>
      </w:r>
      <w:r>
        <w:rPr>
          <w:rFonts w:hint="eastAsia" w:ascii="楷体" w:hAnsi="楷体" w:eastAsia="楷体" w:cs="楷体"/>
          <w:color w:val="auto"/>
          <w:sz w:val="30"/>
          <w:szCs w:val="30"/>
        </w:rPr>
        <w:t>备勤</w:t>
      </w:r>
      <w:r>
        <w:rPr>
          <w:rFonts w:hint="eastAsia" w:ascii="楷体" w:hAnsi="楷体" w:eastAsia="楷体" w:cs="楷体"/>
          <w:color w:val="auto"/>
          <w:sz w:val="30"/>
          <w:szCs w:val="30"/>
          <w:lang w:val="zh-CN"/>
        </w:rPr>
        <w:t>，必要时分别负责北院区、南院</w:t>
      </w:r>
      <w:r>
        <w:rPr>
          <w:rFonts w:hint="eastAsia" w:ascii="楷体" w:hAnsi="楷体" w:eastAsia="楷体" w:cs="楷体"/>
          <w:color w:val="auto"/>
          <w:sz w:val="30"/>
          <w:szCs w:val="30"/>
        </w:rPr>
        <w:t>区</w:t>
      </w:r>
      <w:r>
        <w:rPr>
          <w:rFonts w:hint="eastAsia" w:ascii="楷体" w:hAnsi="楷体" w:eastAsia="楷体" w:cs="楷体"/>
          <w:color w:val="auto"/>
          <w:sz w:val="30"/>
          <w:szCs w:val="30"/>
          <w:lang w:val="zh-CN"/>
        </w:rPr>
        <w:t>的紧急故障处理。</w:t>
      </w:r>
      <w:r>
        <w:rPr>
          <w:rFonts w:hint="eastAsia" w:ascii="楷体" w:hAnsi="楷体" w:eastAsia="楷体" w:cs="楷体"/>
          <w:color w:val="auto"/>
          <w:sz w:val="30"/>
          <w:szCs w:val="30"/>
        </w:rPr>
        <w:t>备勤</w:t>
      </w:r>
      <w:r>
        <w:rPr>
          <w:rFonts w:hint="eastAsia" w:ascii="楷体" w:hAnsi="楷体" w:eastAsia="楷体" w:cs="楷体"/>
          <w:color w:val="auto"/>
          <w:sz w:val="30"/>
          <w:szCs w:val="30"/>
          <w:lang w:val="zh-CN"/>
        </w:rPr>
        <w:t>人员不能离开广州，24小时开通手机。场外</w:t>
      </w:r>
      <w:r>
        <w:rPr>
          <w:rFonts w:hint="eastAsia" w:ascii="楷体" w:hAnsi="楷体" w:eastAsia="楷体" w:cs="楷体"/>
          <w:color w:val="auto"/>
          <w:sz w:val="30"/>
          <w:szCs w:val="30"/>
        </w:rPr>
        <w:t>备勤</w:t>
      </w:r>
      <w:r>
        <w:rPr>
          <w:rFonts w:hint="eastAsia" w:ascii="楷体" w:hAnsi="楷体" w:eastAsia="楷体" w:cs="楷体"/>
          <w:color w:val="auto"/>
          <w:sz w:val="30"/>
          <w:szCs w:val="30"/>
          <w:lang w:val="zh-CN"/>
        </w:rPr>
        <w:t>人员须为能够独立解决问题的工作日驻守现场人员。</w:t>
      </w:r>
      <w:r>
        <w:rPr>
          <w:rFonts w:hint="eastAsia" w:ascii="楷体" w:hAnsi="楷体" w:eastAsia="楷体" w:cs="楷体"/>
          <w:color w:val="auto"/>
          <w:sz w:val="30"/>
          <w:szCs w:val="30"/>
        </w:rPr>
        <w:t>发生需要到达现场才能处理的故障时，备勤</w:t>
      </w:r>
      <w:r>
        <w:rPr>
          <w:rFonts w:hint="eastAsia" w:ascii="楷体" w:hAnsi="楷体" w:eastAsia="楷体" w:cs="楷体"/>
          <w:color w:val="auto"/>
          <w:sz w:val="30"/>
          <w:szCs w:val="30"/>
          <w:lang w:val="zh-CN"/>
        </w:rPr>
        <w:t>人员须2小时以内到达</w:t>
      </w:r>
      <w:r>
        <w:rPr>
          <w:rFonts w:hint="eastAsia" w:ascii="楷体" w:hAnsi="楷体" w:eastAsia="楷体" w:cs="楷体"/>
          <w:color w:val="auto"/>
          <w:sz w:val="30"/>
          <w:szCs w:val="30"/>
        </w:rPr>
        <w:t>现场</w:t>
      </w:r>
      <w:r>
        <w:rPr>
          <w:rFonts w:hint="eastAsia" w:ascii="楷体" w:hAnsi="楷体" w:eastAsia="楷体" w:cs="楷体"/>
          <w:color w:val="auto"/>
          <w:sz w:val="30"/>
          <w:szCs w:val="30"/>
          <w:lang w:val="zh-CN"/>
        </w:rPr>
        <w:t>；</w:t>
      </w:r>
    </w:p>
    <w:p w14:paraId="4E2C6808">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(7)</w:t>
      </w:r>
      <w:r>
        <w:rPr>
          <w:rFonts w:hint="eastAsia" w:ascii="楷体" w:hAnsi="楷体" w:eastAsia="楷体" w:cs="楷体"/>
          <w:color w:val="auto"/>
          <w:sz w:val="30"/>
          <w:szCs w:val="30"/>
          <w:lang w:val="zh-CN"/>
        </w:rPr>
        <w:t>花都院区工作日：</w:t>
      </w:r>
    </w:p>
    <w:p w14:paraId="189FCF6E">
      <w:pPr>
        <w:pStyle w:val="3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00" w:firstLineChars="200"/>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①</w:t>
      </w:r>
      <w:r>
        <w:rPr>
          <w:rFonts w:hint="eastAsia" w:ascii="楷体" w:hAnsi="楷体" w:eastAsia="楷体" w:cs="楷体"/>
          <w:color w:val="auto"/>
          <w:sz w:val="30"/>
          <w:szCs w:val="30"/>
          <w:lang w:val="zh-CN"/>
        </w:rPr>
        <w:t>8:00—17:30，驻守人数：5人；</w:t>
      </w:r>
    </w:p>
    <w:p w14:paraId="45E55E3E">
      <w:pPr>
        <w:pStyle w:val="3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00" w:firstLineChars="200"/>
        <w:textAlignment w:val="auto"/>
        <w:rPr>
          <w:rFonts w:hint="eastAsia" w:ascii="楷体" w:hAnsi="楷体" w:eastAsia="楷体" w:cs="楷体"/>
          <w:color w:val="auto"/>
          <w:kern w:val="2"/>
          <w:sz w:val="30"/>
          <w:szCs w:val="30"/>
          <w:lang w:val="zh-CN" w:eastAsia="zh-CN" w:bidi="ar-SA"/>
        </w:rPr>
      </w:pPr>
      <w:r>
        <w:rPr>
          <w:rFonts w:hint="eastAsia" w:ascii="楷体" w:hAnsi="楷体" w:eastAsia="楷体" w:cs="楷体"/>
          <w:color w:val="auto"/>
          <w:kern w:val="2"/>
          <w:sz w:val="30"/>
          <w:szCs w:val="30"/>
          <w:lang w:val="zh-CN" w:eastAsia="zh-CN" w:bidi="ar-SA"/>
        </w:rPr>
        <w:t>②长假（大于等于3天的假期）后第1个工作日全体驻守人员提前15分钟（即7:45）到场；</w:t>
      </w:r>
    </w:p>
    <w:p w14:paraId="0B5D3B9B">
      <w:pPr>
        <w:pStyle w:val="3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00" w:firstLineChars="200"/>
        <w:textAlignment w:val="auto"/>
        <w:rPr>
          <w:rFonts w:hint="eastAsia" w:ascii="楷体" w:hAnsi="楷体" w:eastAsia="楷体" w:cs="楷体"/>
          <w:color w:val="auto"/>
          <w:kern w:val="2"/>
          <w:sz w:val="30"/>
          <w:szCs w:val="30"/>
          <w:lang w:val="zh-CN" w:eastAsia="zh-CN" w:bidi="ar-SA"/>
        </w:rPr>
      </w:pPr>
      <w:r>
        <w:rPr>
          <w:rFonts w:hint="eastAsia" w:ascii="楷体" w:hAnsi="楷体" w:eastAsia="楷体" w:cs="楷体"/>
          <w:color w:val="auto"/>
          <w:kern w:val="2"/>
          <w:sz w:val="30"/>
          <w:szCs w:val="30"/>
          <w:lang w:val="zh-CN" w:eastAsia="zh-CN" w:bidi="ar-SA"/>
        </w:rPr>
        <w:t>③时间：17:30—8:00，驻守人数： 1人，兼电话接听工作；</w:t>
      </w:r>
    </w:p>
    <w:p w14:paraId="12C45CF0">
      <w:pPr>
        <w:pStyle w:val="3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00" w:firstLineChars="200"/>
        <w:textAlignment w:val="auto"/>
        <w:rPr>
          <w:rFonts w:hint="eastAsia" w:ascii="楷体" w:hAnsi="楷体" w:eastAsia="楷体" w:cs="楷体"/>
          <w:color w:val="auto"/>
          <w:kern w:val="2"/>
          <w:sz w:val="30"/>
          <w:szCs w:val="30"/>
          <w:lang w:val="zh-CN" w:eastAsia="zh-CN" w:bidi="ar-SA"/>
        </w:rPr>
      </w:pPr>
      <w:r>
        <w:rPr>
          <w:rFonts w:hint="eastAsia" w:ascii="楷体" w:hAnsi="楷体" w:eastAsia="楷体" w:cs="楷体"/>
          <w:color w:val="auto"/>
          <w:kern w:val="2"/>
          <w:sz w:val="30"/>
          <w:szCs w:val="30"/>
          <w:lang w:val="zh-CN" w:eastAsia="zh-CN" w:bidi="ar-SA"/>
        </w:rPr>
        <w:t>④每个工作日早上7点，中标人应安排至少1名工程门诊部巡检。但如遇突发事件急需中标人处理的，优先处理紧急事件。具体情况由采购人决定。涉及的人员费用均由中标人承担，采购人不再另行支付。</w:t>
      </w:r>
    </w:p>
    <w:p w14:paraId="33543F9D">
      <w:pPr>
        <w:pStyle w:val="32"/>
        <w:numPr>
          <w:ilvl w:val="0"/>
          <w:numId w:val="0"/>
        </w:numPr>
        <w:ind w:left="426" w:leftChars="0" w:firstLine="1" w:firstLineChars="0"/>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(8)</w:t>
      </w:r>
      <w:r>
        <w:rPr>
          <w:rFonts w:hint="eastAsia" w:ascii="楷体" w:hAnsi="楷体" w:eastAsia="楷体" w:cs="楷体"/>
          <w:color w:val="auto"/>
          <w:sz w:val="30"/>
          <w:szCs w:val="30"/>
          <w:lang w:val="zh-CN"/>
        </w:rPr>
        <w:t>花都院区节假日：</w:t>
      </w:r>
    </w:p>
    <w:p w14:paraId="49FF9254">
      <w:pPr>
        <w:pStyle w:val="3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00" w:firstLineChars="200"/>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①</w:t>
      </w:r>
      <w:r>
        <w:rPr>
          <w:rFonts w:hint="eastAsia" w:ascii="楷体" w:hAnsi="楷体" w:eastAsia="楷体" w:cs="楷体"/>
          <w:color w:val="auto"/>
          <w:sz w:val="30"/>
          <w:szCs w:val="30"/>
          <w:lang w:val="zh-CN"/>
        </w:rPr>
        <w:t>时间：8:00—</w:t>
      </w:r>
      <w:r>
        <w:rPr>
          <w:rFonts w:ascii="楷体" w:hAnsi="楷体" w:eastAsia="楷体" w:cs="楷体"/>
          <w:color w:val="auto"/>
          <w:sz w:val="30"/>
          <w:szCs w:val="30"/>
          <w:lang w:val="zh-CN"/>
        </w:rPr>
        <w:t>8</w:t>
      </w:r>
      <w:r>
        <w:rPr>
          <w:rFonts w:hint="eastAsia" w:ascii="楷体" w:hAnsi="楷体" w:eastAsia="楷体" w:cs="楷体"/>
          <w:color w:val="auto"/>
          <w:sz w:val="30"/>
          <w:szCs w:val="30"/>
          <w:lang w:val="zh-CN"/>
        </w:rPr>
        <w:t>:00，驻守人数： 1人，兼电话接听工作，特殊情况另行通知；</w:t>
      </w:r>
    </w:p>
    <w:p w14:paraId="35413D0A">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(9)</w:t>
      </w:r>
      <w:r>
        <w:rPr>
          <w:rFonts w:hint="eastAsia" w:ascii="楷体" w:hAnsi="楷体" w:eastAsia="楷体" w:cs="楷体"/>
          <w:color w:val="auto"/>
          <w:sz w:val="30"/>
          <w:szCs w:val="30"/>
          <w:lang w:val="zh-CN"/>
        </w:rPr>
        <w:t>根据采购人的需求和实际情况增派人手、增加驻守时间。真正做到急采购人所急、快速高效地解决问题。费用不再另行增加。</w:t>
      </w:r>
    </w:p>
    <w:p w14:paraId="22CF6FAB">
      <w:pPr>
        <w:pStyle w:val="6"/>
        <w:spacing w:line="360" w:lineRule="auto"/>
        <w:rPr>
          <w:rFonts w:hint="eastAsia" w:ascii="楷体" w:hAnsi="楷体" w:eastAsia="楷体" w:cs="楷体"/>
          <w:color w:val="auto"/>
          <w:sz w:val="30"/>
          <w:szCs w:val="30"/>
          <w:lang w:val="zh-CN"/>
        </w:rPr>
      </w:pPr>
      <w:bookmarkStart w:id="7" w:name="_Toc14840"/>
      <w:r>
        <w:rPr>
          <w:rFonts w:hint="eastAsia" w:ascii="楷体" w:hAnsi="楷体" w:eastAsia="楷体" w:cs="楷体"/>
          <w:color w:val="auto"/>
          <w:sz w:val="30"/>
          <w:szCs w:val="30"/>
          <w:lang w:val="zh-CN"/>
        </w:rPr>
        <w:t>（四）服务团队人员组成和岗位职责要求</w:t>
      </w:r>
      <w:bookmarkEnd w:id="7"/>
    </w:p>
    <w:p w14:paraId="0AFBAE18">
      <w:pPr>
        <w:pStyle w:val="2"/>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本项目采用以驻场服务为主，机动为辅的混合服务模式。投标人需要组建一个专责的服务团队，负责接听报障、登记、分类和故障处理等工作。以下是投标人驻场维护服务人员的要求以及具体的人员组成和职责。</w:t>
      </w:r>
    </w:p>
    <w:tbl>
      <w:tblPr>
        <w:tblStyle w:val="18"/>
        <w:tblW w:w="9556" w:type="dxa"/>
        <w:jc w:val="center"/>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190"/>
        <w:gridCol w:w="726"/>
        <w:gridCol w:w="881"/>
        <w:gridCol w:w="6047"/>
      </w:tblGrid>
      <w:tr w14:paraId="0F3E72A4">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12" w:type="dxa"/>
            <w:tcBorders>
              <w:top w:val="single" w:color="auto" w:sz="2" w:space="0"/>
              <w:left w:val="single" w:color="auto" w:sz="2" w:space="0"/>
              <w:bottom w:val="single" w:color="auto" w:sz="4" w:space="0"/>
              <w:right w:val="single" w:color="auto" w:sz="4" w:space="0"/>
            </w:tcBorders>
            <w:vAlign w:val="center"/>
          </w:tcPr>
          <w:p w14:paraId="74528052">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序号</w:t>
            </w:r>
          </w:p>
        </w:tc>
        <w:tc>
          <w:tcPr>
            <w:tcW w:w="1190" w:type="dxa"/>
            <w:tcBorders>
              <w:top w:val="single" w:color="auto" w:sz="2" w:space="0"/>
              <w:left w:val="single" w:color="auto" w:sz="4" w:space="0"/>
              <w:bottom w:val="single" w:color="auto" w:sz="4" w:space="0"/>
              <w:right w:val="single" w:color="auto" w:sz="4" w:space="0"/>
            </w:tcBorders>
            <w:vAlign w:val="center"/>
          </w:tcPr>
          <w:p w14:paraId="1C11AD12">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岗位</w:t>
            </w:r>
          </w:p>
        </w:tc>
        <w:tc>
          <w:tcPr>
            <w:tcW w:w="726" w:type="dxa"/>
            <w:tcBorders>
              <w:top w:val="single" w:color="auto" w:sz="2" w:space="0"/>
              <w:left w:val="single" w:color="auto" w:sz="4" w:space="0"/>
              <w:bottom w:val="single" w:color="auto" w:sz="4" w:space="0"/>
              <w:right w:val="single" w:color="auto" w:sz="4" w:space="0"/>
            </w:tcBorders>
            <w:vAlign w:val="center"/>
          </w:tcPr>
          <w:p w14:paraId="6D2958F0">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数量</w:t>
            </w:r>
          </w:p>
        </w:tc>
        <w:tc>
          <w:tcPr>
            <w:tcW w:w="881" w:type="dxa"/>
            <w:tcBorders>
              <w:top w:val="single" w:color="auto" w:sz="2" w:space="0"/>
              <w:left w:val="single" w:color="auto" w:sz="4" w:space="0"/>
              <w:bottom w:val="single" w:color="auto" w:sz="4" w:space="0"/>
              <w:right w:val="single" w:color="auto" w:sz="4" w:space="0"/>
            </w:tcBorders>
            <w:vAlign w:val="center"/>
          </w:tcPr>
          <w:p w14:paraId="6645E160">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是否</w:t>
            </w:r>
          </w:p>
          <w:p w14:paraId="21E41930">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驻场</w:t>
            </w:r>
          </w:p>
        </w:tc>
        <w:tc>
          <w:tcPr>
            <w:tcW w:w="6047" w:type="dxa"/>
            <w:tcBorders>
              <w:top w:val="single" w:color="auto" w:sz="2" w:space="0"/>
              <w:left w:val="single" w:color="auto" w:sz="4" w:space="0"/>
              <w:bottom w:val="single" w:color="auto" w:sz="4" w:space="0"/>
              <w:right w:val="single" w:color="auto" w:sz="2" w:space="0"/>
            </w:tcBorders>
            <w:vAlign w:val="center"/>
          </w:tcPr>
          <w:p w14:paraId="46A6FCD6">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职责和要求</w:t>
            </w:r>
          </w:p>
        </w:tc>
      </w:tr>
      <w:tr w14:paraId="01636406">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auto" w:sz="4" w:space="0"/>
              <w:left w:val="single" w:color="auto" w:sz="2" w:space="0"/>
              <w:bottom w:val="single" w:color="auto" w:sz="4" w:space="0"/>
              <w:right w:val="single" w:color="auto" w:sz="4" w:space="0"/>
            </w:tcBorders>
            <w:vAlign w:val="center"/>
          </w:tcPr>
          <w:p w14:paraId="69C0A956">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w:t>
            </w:r>
          </w:p>
        </w:tc>
        <w:tc>
          <w:tcPr>
            <w:tcW w:w="1190" w:type="dxa"/>
            <w:tcBorders>
              <w:top w:val="single" w:color="auto" w:sz="4" w:space="0"/>
              <w:left w:val="single" w:color="auto" w:sz="4" w:space="0"/>
              <w:bottom w:val="single" w:color="auto" w:sz="4" w:space="0"/>
              <w:right w:val="single" w:color="auto" w:sz="4" w:space="0"/>
            </w:tcBorders>
            <w:vAlign w:val="center"/>
          </w:tcPr>
          <w:p w14:paraId="1F2D2515">
            <w:pPr>
              <w:spacing w:line="276"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项目负责人（项目经理）</w:t>
            </w:r>
          </w:p>
        </w:tc>
        <w:tc>
          <w:tcPr>
            <w:tcW w:w="726" w:type="dxa"/>
            <w:tcBorders>
              <w:top w:val="single" w:color="auto" w:sz="4" w:space="0"/>
              <w:left w:val="single" w:color="auto" w:sz="4" w:space="0"/>
              <w:bottom w:val="single" w:color="auto" w:sz="4" w:space="0"/>
              <w:right w:val="single" w:color="auto" w:sz="4" w:space="0"/>
            </w:tcBorders>
            <w:vAlign w:val="center"/>
          </w:tcPr>
          <w:p w14:paraId="21F44C21">
            <w:pPr>
              <w:spacing w:line="276"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1人</w:t>
            </w:r>
          </w:p>
        </w:tc>
        <w:tc>
          <w:tcPr>
            <w:tcW w:w="881" w:type="dxa"/>
            <w:tcBorders>
              <w:top w:val="single" w:color="auto" w:sz="4" w:space="0"/>
              <w:left w:val="single" w:color="auto" w:sz="4" w:space="0"/>
              <w:bottom w:val="single" w:color="auto" w:sz="4" w:space="0"/>
              <w:right w:val="single" w:color="auto" w:sz="4" w:space="0"/>
            </w:tcBorders>
            <w:vAlign w:val="center"/>
          </w:tcPr>
          <w:p w14:paraId="34195BFD">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不驻场</w:t>
            </w:r>
          </w:p>
        </w:tc>
        <w:tc>
          <w:tcPr>
            <w:tcW w:w="6047" w:type="dxa"/>
            <w:tcBorders>
              <w:top w:val="single" w:color="auto" w:sz="4" w:space="0"/>
              <w:left w:val="single" w:color="auto" w:sz="4" w:space="0"/>
              <w:bottom w:val="single" w:color="auto" w:sz="4" w:space="0"/>
              <w:right w:val="single" w:color="auto" w:sz="2" w:space="0"/>
            </w:tcBorders>
            <w:vAlign w:val="center"/>
          </w:tcPr>
          <w:p w14:paraId="4BEAD61F">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负责该项目的设计，实施、运营、监督、反馈等总控工作；</w:t>
            </w:r>
          </w:p>
          <w:p w14:paraId="0B253B9B">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对计算机桌面终端和网络系统维护工作具有较为深刻的理解和丰富的管理经验；</w:t>
            </w:r>
          </w:p>
          <w:p w14:paraId="2E6C62B4">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是项目的总负责人，负责与采购人沟通驻场人员无法解决的问题；</w:t>
            </w:r>
          </w:p>
          <w:p w14:paraId="0F13727A">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具有</w:t>
            </w:r>
            <w:r>
              <w:rPr>
                <w:rFonts w:hint="eastAsia" w:ascii="楷体" w:hAnsi="楷体" w:eastAsia="楷体" w:cs="楷体"/>
                <w:color w:val="auto"/>
                <w:sz w:val="30"/>
                <w:szCs w:val="30"/>
              </w:rPr>
              <w:t>较强的</w:t>
            </w:r>
            <w:r>
              <w:rPr>
                <w:rFonts w:hint="eastAsia" w:ascii="楷体" w:hAnsi="楷体" w:eastAsia="楷体" w:cs="楷体"/>
                <w:color w:val="auto"/>
                <w:sz w:val="30"/>
                <w:szCs w:val="30"/>
                <w:lang w:val="zh-CN"/>
              </w:rPr>
              <w:t>综合管理能力，能保证服务团队人员的稳定性、连续性和整体服务质量的能力和经验；</w:t>
            </w:r>
          </w:p>
          <w:p w14:paraId="781B790D">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接受采购人对驻场服务人员的投诉，监控服务质量、协调与采购人之间的重大问题。</w:t>
            </w:r>
          </w:p>
          <w:p w14:paraId="50FFD38B">
            <w:pPr>
              <w:pStyle w:val="2"/>
              <w:rPr>
                <w:rFonts w:hint="eastAsia" w:ascii="楷体" w:hAnsi="楷体" w:eastAsia="楷体" w:cs="楷体"/>
                <w:color w:val="auto"/>
                <w:sz w:val="30"/>
                <w:szCs w:val="30"/>
                <w:lang w:val="zh-CN"/>
              </w:rPr>
            </w:pPr>
            <w:r>
              <w:rPr>
                <w:rFonts w:hint="eastAsia" w:ascii="楷体" w:hAnsi="楷体" w:eastAsia="楷体" w:cs="楷体"/>
                <w:bCs/>
                <w:color w:val="auto"/>
                <w:sz w:val="30"/>
                <w:szCs w:val="30"/>
              </w:rPr>
              <w:t>注：需制定服务质量保障和监督方案（包括服务质量保障措施、监督方案、服务监督流程、项目配合方案）</w:t>
            </w:r>
          </w:p>
        </w:tc>
      </w:tr>
      <w:tr w14:paraId="2B2B747B">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auto" w:sz="4" w:space="0"/>
              <w:left w:val="single" w:color="auto" w:sz="2" w:space="0"/>
              <w:bottom w:val="single" w:color="auto" w:sz="4" w:space="0"/>
              <w:right w:val="single" w:color="auto" w:sz="4" w:space="0"/>
            </w:tcBorders>
            <w:vAlign w:val="center"/>
          </w:tcPr>
          <w:p w14:paraId="5D00FC91">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w:t>
            </w:r>
          </w:p>
        </w:tc>
        <w:tc>
          <w:tcPr>
            <w:tcW w:w="1190" w:type="dxa"/>
            <w:tcBorders>
              <w:top w:val="single" w:color="auto" w:sz="4" w:space="0"/>
              <w:left w:val="single" w:color="auto" w:sz="4" w:space="0"/>
              <w:bottom w:val="single" w:color="auto" w:sz="4" w:space="0"/>
              <w:right w:val="single" w:color="auto" w:sz="4" w:space="0"/>
            </w:tcBorders>
            <w:vAlign w:val="center"/>
          </w:tcPr>
          <w:p w14:paraId="09E61DF9">
            <w:pPr>
              <w:spacing w:line="276"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服务台</w:t>
            </w:r>
          </w:p>
        </w:tc>
        <w:tc>
          <w:tcPr>
            <w:tcW w:w="726" w:type="dxa"/>
            <w:tcBorders>
              <w:top w:val="single" w:color="auto" w:sz="4" w:space="0"/>
              <w:left w:val="single" w:color="auto" w:sz="4" w:space="0"/>
              <w:bottom w:val="single" w:color="auto" w:sz="4" w:space="0"/>
              <w:right w:val="single" w:color="auto" w:sz="4" w:space="0"/>
            </w:tcBorders>
            <w:vAlign w:val="center"/>
          </w:tcPr>
          <w:p w14:paraId="5C18897C">
            <w:pPr>
              <w:spacing w:line="276" w:lineRule="auto"/>
              <w:rPr>
                <w:rFonts w:hint="eastAsia" w:ascii="楷体" w:hAnsi="楷体" w:eastAsia="楷体" w:cs="楷体"/>
                <w:color w:val="auto"/>
                <w:sz w:val="30"/>
                <w:szCs w:val="30"/>
                <w:lang w:val="zh-CN"/>
              </w:rPr>
            </w:pPr>
            <w:r>
              <w:rPr>
                <w:rFonts w:ascii="楷体" w:hAnsi="楷体" w:eastAsia="楷体" w:cs="楷体"/>
                <w:color w:val="auto"/>
                <w:sz w:val="30"/>
                <w:szCs w:val="30"/>
              </w:rPr>
              <w:t>1</w:t>
            </w:r>
            <w:r>
              <w:rPr>
                <w:rFonts w:hint="eastAsia" w:ascii="楷体" w:hAnsi="楷体" w:eastAsia="楷体" w:cs="楷体"/>
                <w:color w:val="auto"/>
                <w:sz w:val="30"/>
                <w:szCs w:val="30"/>
                <w:lang w:val="zh-CN"/>
              </w:rPr>
              <w:t>人</w:t>
            </w:r>
          </w:p>
        </w:tc>
        <w:tc>
          <w:tcPr>
            <w:tcW w:w="881" w:type="dxa"/>
            <w:tcBorders>
              <w:top w:val="single" w:color="auto" w:sz="4" w:space="0"/>
              <w:left w:val="single" w:color="auto" w:sz="4" w:space="0"/>
              <w:bottom w:val="single" w:color="auto" w:sz="4" w:space="0"/>
              <w:right w:val="single" w:color="auto" w:sz="4" w:space="0"/>
            </w:tcBorders>
            <w:vAlign w:val="center"/>
          </w:tcPr>
          <w:p w14:paraId="345F4472">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驻场</w:t>
            </w:r>
          </w:p>
        </w:tc>
        <w:tc>
          <w:tcPr>
            <w:tcW w:w="6047" w:type="dxa"/>
            <w:tcBorders>
              <w:top w:val="single" w:color="auto" w:sz="4" w:space="0"/>
              <w:left w:val="single" w:color="auto" w:sz="4" w:space="0"/>
              <w:bottom w:val="single" w:color="auto" w:sz="4" w:space="0"/>
              <w:right w:val="single" w:color="auto" w:sz="2" w:space="0"/>
            </w:tcBorders>
            <w:vAlign w:val="center"/>
          </w:tcPr>
          <w:p w14:paraId="45D1A08E">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具有相关专业背景、同类项目岗位客服管理和行政管理工作经验；熟练执行ITSS服务体系流程管理；</w:t>
            </w:r>
          </w:p>
          <w:p w14:paraId="16094AF2">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负责</w:t>
            </w:r>
            <w:r>
              <w:rPr>
                <w:rFonts w:hint="eastAsia" w:ascii="楷体" w:hAnsi="楷体" w:eastAsia="楷体" w:cs="楷体"/>
                <w:color w:val="auto"/>
                <w:sz w:val="30"/>
                <w:szCs w:val="30"/>
              </w:rPr>
              <w:t>采购人</w:t>
            </w:r>
            <w:r>
              <w:rPr>
                <w:rFonts w:hint="eastAsia" w:ascii="楷体" w:hAnsi="楷体" w:eastAsia="楷体" w:cs="楷体"/>
                <w:color w:val="auto"/>
                <w:sz w:val="30"/>
                <w:szCs w:val="30"/>
                <w:lang w:val="zh-CN"/>
              </w:rPr>
              <w:t>日常</w:t>
            </w:r>
            <w:r>
              <w:rPr>
                <w:rFonts w:hint="eastAsia" w:ascii="楷体" w:hAnsi="楷体" w:eastAsia="楷体" w:cs="楷体"/>
                <w:color w:val="auto"/>
                <w:sz w:val="30"/>
                <w:szCs w:val="30"/>
              </w:rPr>
              <w:t>报障</w:t>
            </w:r>
            <w:r>
              <w:rPr>
                <w:rFonts w:hint="eastAsia" w:ascii="楷体" w:hAnsi="楷体" w:eastAsia="楷体" w:cs="楷体"/>
                <w:color w:val="auto"/>
                <w:sz w:val="30"/>
                <w:szCs w:val="30"/>
                <w:lang w:val="zh-CN"/>
              </w:rPr>
              <w:t>电话</w:t>
            </w:r>
            <w:r>
              <w:rPr>
                <w:rFonts w:hint="eastAsia" w:ascii="楷体" w:hAnsi="楷体" w:eastAsia="楷体" w:cs="楷体"/>
                <w:color w:val="auto"/>
                <w:sz w:val="30"/>
                <w:szCs w:val="30"/>
              </w:rPr>
              <w:t>的</w:t>
            </w:r>
            <w:r>
              <w:rPr>
                <w:rFonts w:hint="eastAsia" w:ascii="楷体" w:hAnsi="楷体" w:eastAsia="楷体" w:cs="楷体"/>
                <w:color w:val="auto"/>
                <w:sz w:val="30"/>
                <w:szCs w:val="30"/>
                <w:lang w:val="zh-CN"/>
              </w:rPr>
              <w:t>接听、派单、跟踪、回访、服务处理文档归类处理等；</w:t>
            </w:r>
          </w:p>
          <w:p w14:paraId="7D8CD3D7">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负责协助</w:t>
            </w:r>
            <w:r>
              <w:rPr>
                <w:rFonts w:hint="eastAsia" w:ascii="楷体" w:hAnsi="楷体" w:eastAsia="楷体" w:cs="楷体"/>
                <w:color w:val="auto"/>
                <w:sz w:val="30"/>
                <w:szCs w:val="30"/>
              </w:rPr>
              <w:t>智慧医院建设部</w:t>
            </w:r>
            <w:r>
              <w:rPr>
                <w:rFonts w:hint="eastAsia" w:ascii="楷体" w:hAnsi="楷体" w:eastAsia="楷体" w:cs="楷体"/>
                <w:color w:val="auto"/>
                <w:sz w:val="30"/>
                <w:szCs w:val="30"/>
                <w:lang w:val="zh-CN"/>
              </w:rPr>
              <w:t>日常综合软件整体技术集成维护支持，即作为IT设备维保和专用软件维保的总协调和提供相关服务管理工作；</w:t>
            </w:r>
          </w:p>
          <w:p w14:paraId="1EA7EC93">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工作时间：工作日8:00至17:30。</w:t>
            </w:r>
          </w:p>
        </w:tc>
      </w:tr>
      <w:tr w14:paraId="4E8813C6">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auto" w:sz="4" w:space="0"/>
              <w:left w:val="single" w:color="auto" w:sz="2" w:space="0"/>
              <w:bottom w:val="single" w:color="auto" w:sz="4" w:space="0"/>
              <w:right w:val="single" w:color="auto" w:sz="4" w:space="0"/>
            </w:tcBorders>
            <w:vAlign w:val="center"/>
          </w:tcPr>
          <w:p w14:paraId="3D206B8D">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w:t>
            </w:r>
          </w:p>
        </w:tc>
        <w:tc>
          <w:tcPr>
            <w:tcW w:w="1190" w:type="dxa"/>
            <w:tcBorders>
              <w:top w:val="single" w:color="auto" w:sz="4" w:space="0"/>
              <w:left w:val="single" w:color="auto" w:sz="4" w:space="0"/>
              <w:bottom w:val="single" w:color="auto" w:sz="4" w:space="0"/>
              <w:right w:val="single" w:color="auto" w:sz="4" w:space="0"/>
            </w:tcBorders>
            <w:vAlign w:val="center"/>
          </w:tcPr>
          <w:p w14:paraId="1FCAC409">
            <w:pPr>
              <w:spacing w:line="276"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驻场服务主管</w:t>
            </w:r>
          </w:p>
        </w:tc>
        <w:tc>
          <w:tcPr>
            <w:tcW w:w="726" w:type="dxa"/>
            <w:tcBorders>
              <w:top w:val="single" w:color="auto" w:sz="4" w:space="0"/>
              <w:left w:val="single" w:color="auto" w:sz="4" w:space="0"/>
              <w:bottom w:val="single" w:color="auto" w:sz="4" w:space="0"/>
              <w:right w:val="single" w:color="auto" w:sz="4" w:space="0"/>
            </w:tcBorders>
            <w:vAlign w:val="center"/>
          </w:tcPr>
          <w:p w14:paraId="40CF4F82">
            <w:pPr>
              <w:spacing w:line="276"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1人</w:t>
            </w:r>
          </w:p>
        </w:tc>
        <w:tc>
          <w:tcPr>
            <w:tcW w:w="881" w:type="dxa"/>
            <w:tcBorders>
              <w:top w:val="single" w:color="auto" w:sz="4" w:space="0"/>
              <w:left w:val="single" w:color="auto" w:sz="4" w:space="0"/>
              <w:bottom w:val="single" w:color="auto" w:sz="4" w:space="0"/>
              <w:right w:val="single" w:color="auto" w:sz="4" w:space="0"/>
            </w:tcBorders>
            <w:vAlign w:val="center"/>
          </w:tcPr>
          <w:p w14:paraId="6C29F794">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驻场</w:t>
            </w:r>
          </w:p>
        </w:tc>
        <w:tc>
          <w:tcPr>
            <w:tcW w:w="6047" w:type="dxa"/>
            <w:tcBorders>
              <w:top w:val="single" w:color="auto" w:sz="4" w:space="0"/>
              <w:left w:val="single" w:color="auto" w:sz="4" w:space="0"/>
              <w:bottom w:val="single" w:color="auto" w:sz="4" w:space="0"/>
              <w:right w:val="single" w:color="auto" w:sz="2" w:space="0"/>
            </w:tcBorders>
            <w:vAlign w:val="center"/>
          </w:tcPr>
          <w:p w14:paraId="210BE24D">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具有同类项目工作经验，具备一定的专业IT维护管理水平，配合采购人日常安排，</w:t>
            </w:r>
            <w:r>
              <w:rPr>
                <w:rFonts w:hint="eastAsia" w:ascii="楷体" w:hAnsi="楷体" w:eastAsia="楷体" w:cs="楷体"/>
                <w:color w:val="auto"/>
                <w:sz w:val="30"/>
                <w:szCs w:val="30"/>
              </w:rPr>
              <w:t>并</w:t>
            </w:r>
            <w:r>
              <w:rPr>
                <w:rFonts w:hint="eastAsia" w:ascii="楷体" w:hAnsi="楷体" w:eastAsia="楷体" w:cs="楷体"/>
                <w:color w:val="auto"/>
                <w:sz w:val="30"/>
                <w:szCs w:val="30"/>
                <w:lang w:val="zh-CN"/>
              </w:rPr>
              <w:t>分配</w:t>
            </w:r>
            <w:r>
              <w:rPr>
                <w:rFonts w:hint="eastAsia" w:ascii="楷体" w:hAnsi="楷体" w:eastAsia="楷体" w:cs="楷体"/>
                <w:color w:val="auto"/>
                <w:sz w:val="30"/>
                <w:szCs w:val="30"/>
              </w:rPr>
              <w:t>驻场</w:t>
            </w:r>
            <w:r>
              <w:rPr>
                <w:rFonts w:hint="eastAsia" w:ascii="楷体" w:hAnsi="楷体" w:eastAsia="楷体" w:cs="楷体"/>
                <w:color w:val="auto"/>
                <w:sz w:val="30"/>
                <w:szCs w:val="30"/>
                <w:lang w:val="zh-CN"/>
              </w:rPr>
              <w:t>人员完成</w:t>
            </w:r>
            <w:r>
              <w:rPr>
                <w:rFonts w:hint="eastAsia" w:ascii="楷体" w:hAnsi="楷体" w:eastAsia="楷体" w:cs="楷体"/>
                <w:color w:val="auto"/>
                <w:sz w:val="30"/>
                <w:szCs w:val="30"/>
              </w:rPr>
              <w:t>本项目范围内</w:t>
            </w:r>
            <w:r>
              <w:rPr>
                <w:rFonts w:hint="eastAsia" w:ascii="楷体" w:hAnsi="楷体" w:eastAsia="楷体" w:cs="楷体"/>
                <w:color w:val="auto"/>
                <w:sz w:val="30"/>
                <w:szCs w:val="30"/>
                <w:lang w:val="zh-CN"/>
              </w:rPr>
              <w:t>需要</w:t>
            </w:r>
            <w:r>
              <w:rPr>
                <w:rFonts w:hint="eastAsia" w:ascii="楷体" w:hAnsi="楷体" w:eastAsia="楷体" w:cs="楷体"/>
                <w:color w:val="auto"/>
                <w:sz w:val="30"/>
                <w:szCs w:val="30"/>
              </w:rPr>
              <w:t>完成</w:t>
            </w:r>
            <w:r>
              <w:rPr>
                <w:rFonts w:hint="eastAsia" w:ascii="楷体" w:hAnsi="楷体" w:eastAsia="楷体" w:cs="楷体"/>
                <w:color w:val="auto"/>
                <w:sz w:val="30"/>
                <w:szCs w:val="30"/>
                <w:lang w:val="zh-CN"/>
              </w:rPr>
              <w:t>的具体维护</w:t>
            </w:r>
            <w:r>
              <w:rPr>
                <w:rFonts w:hint="eastAsia" w:ascii="楷体" w:hAnsi="楷体" w:eastAsia="楷体" w:cs="楷体"/>
                <w:color w:val="auto"/>
                <w:sz w:val="30"/>
                <w:szCs w:val="30"/>
              </w:rPr>
              <w:t>服务工作</w:t>
            </w:r>
            <w:r>
              <w:rPr>
                <w:rFonts w:hint="eastAsia" w:ascii="楷体" w:hAnsi="楷体" w:eastAsia="楷体" w:cs="楷体"/>
                <w:color w:val="auto"/>
                <w:sz w:val="30"/>
                <w:szCs w:val="30"/>
                <w:lang w:val="zh-CN"/>
              </w:rPr>
              <w:t>；</w:t>
            </w:r>
          </w:p>
          <w:p w14:paraId="5FF56F6C">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建立有效管理服务系统机制，协助整合IT资源，</w:t>
            </w:r>
            <w:r>
              <w:rPr>
                <w:rFonts w:hint="eastAsia" w:ascii="楷体" w:hAnsi="楷体" w:eastAsia="楷体" w:cs="楷体"/>
                <w:color w:val="auto"/>
                <w:sz w:val="30"/>
                <w:szCs w:val="30"/>
              </w:rPr>
              <w:t>并</w:t>
            </w:r>
            <w:r>
              <w:rPr>
                <w:rFonts w:hint="eastAsia" w:ascii="楷体" w:hAnsi="楷体" w:eastAsia="楷体" w:cs="楷体"/>
                <w:color w:val="auto"/>
                <w:sz w:val="30"/>
                <w:szCs w:val="30"/>
                <w:lang w:val="zh-CN"/>
              </w:rPr>
              <w:t>根据采购人的系统实际情况进行系统优化和升级，</w:t>
            </w:r>
            <w:r>
              <w:rPr>
                <w:rFonts w:hint="eastAsia" w:ascii="楷体" w:hAnsi="楷体" w:eastAsia="楷体" w:cs="楷体"/>
                <w:color w:val="auto"/>
                <w:sz w:val="30"/>
                <w:szCs w:val="30"/>
              </w:rPr>
              <w:t>以</w:t>
            </w:r>
            <w:r>
              <w:rPr>
                <w:rFonts w:hint="eastAsia" w:ascii="楷体" w:hAnsi="楷体" w:eastAsia="楷体" w:cs="楷体"/>
                <w:color w:val="auto"/>
                <w:sz w:val="30"/>
                <w:szCs w:val="30"/>
                <w:lang w:val="zh-CN"/>
              </w:rPr>
              <w:t xml:space="preserve">提供优质服务； </w:t>
            </w:r>
          </w:p>
          <w:p w14:paraId="65C07F10">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协调处理应急故障解决，</w:t>
            </w:r>
            <w:r>
              <w:rPr>
                <w:rFonts w:hint="eastAsia" w:ascii="楷体" w:hAnsi="楷体" w:eastAsia="楷体" w:cs="楷体"/>
                <w:color w:val="auto"/>
                <w:sz w:val="30"/>
                <w:szCs w:val="30"/>
              </w:rPr>
              <w:t>并</w:t>
            </w:r>
            <w:r>
              <w:rPr>
                <w:rFonts w:hint="eastAsia" w:ascii="楷体" w:hAnsi="楷体" w:eastAsia="楷体" w:cs="楷体"/>
                <w:color w:val="auto"/>
                <w:sz w:val="30"/>
                <w:szCs w:val="30"/>
                <w:lang w:val="zh-CN"/>
              </w:rPr>
              <w:t>实时向采购人报告情况，</w:t>
            </w:r>
            <w:bookmarkStart w:id="8" w:name="_GoBack"/>
            <w:bookmarkEnd w:id="8"/>
            <w:r>
              <w:rPr>
                <w:rFonts w:hint="eastAsia" w:ascii="楷体" w:hAnsi="楷体" w:eastAsia="楷体" w:cs="楷体"/>
                <w:color w:val="auto"/>
                <w:sz w:val="30"/>
                <w:szCs w:val="30"/>
              </w:rPr>
              <w:t>同时</w:t>
            </w:r>
            <w:r>
              <w:rPr>
                <w:rFonts w:hint="eastAsia" w:ascii="楷体" w:hAnsi="楷体" w:eastAsia="楷体" w:cs="楷体"/>
                <w:color w:val="auto"/>
                <w:sz w:val="30"/>
                <w:szCs w:val="30"/>
                <w:lang w:val="zh-CN"/>
              </w:rPr>
              <w:t>建立信息日志档案；</w:t>
            </w:r>
          </w:p>
          <w:p w14:paraId="24D77A2E">
            <w:pPr>
              <w:widowControl/>
              <w:numPr>
                <w:ilvl w:val="255"/>
                <w:numId w:val="0"/>
              </w:numPr>
              <w:spacing w:line="276" w:lineRule="auto"/>
              <w:jc w:val="left"/>
              <w:rPr>
                <w:rFonts w:hint="eastAsia" w:ascii="楷体" w:hAnsi="楷体" w:eastAsia="楷体" w:cs="楷体"/>
                <w:color w:val="auto"/>
                <w:sz w:val="30"/>
                <w:szCs w:val="30"/>
              </w:rPr>
            </w:pP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负责协助采购人</w:t>
            </w:r>
            <w:r>
              <w:rPr>
                <w:rFonts w:hint="eastAsia" w:ascii="楷体" w:hAnsi="楷体" w:eastAsia="楷体" w:cs="楷体"/>
                <w:color w:val="auto"/>
                <w:sz w:val="30"/>
                <w:szCs w:val="30"/>
              </w:rPr>
              <w:t>安排人员</w:t>
            </w:r>
            <w:r>
              <w:rPr>
                <w:rFonts w:hint="eastAsia" w:ascii="楷体" w:hAnsi="楷体" w:eastAsia="楷体" w:cs="楷体"/>
                <w:color w:val="auto"/>
                <w:sz w:val="30"/>
                <w:szCs w:val="30"/>
                <w:lang w:val="zh-CN"/>
              </w:rPr>
              <w:t>处理</w:t>
            </w:r>
            <w:r>
              <w:rPr>
                <w:rFonts w:hint="eastAsia" w:ascii="楷体" w:hAnsi="楷体" w:eastAsia="楷体" w:cs="楷体"/>
                <w:color w:val="auto"/>
                <w:sz w:val="30"/>
                <w:szCs w:val="30"/>
              </w:rPr>
              <w:t>各种日常的信息故障</w:t>
            </w:r>
            <w:r>
              <w:rPr>
                <w:rFonts w:hint="eastAsia" w:ascii="楷体" w:hAnsi="楷体" w:eastAsia="楷体" w:cs="楷体"/>
                <w:color w:val="auto"/>
                <w:sz w:val="30"/>
                <w:szCs w:val="30"/>
                <w:lang w:val="zh-CN"/>
              </w:rPr>
              <w:t>事务，登记</w:t>
            </w:r>
            <w:r>
              <w:rPr>
                <w:rFonts w:hint="eastAsia" w:ascii="楷体" w:hAnsi="楷体" w:eastAsia="楷体" w:cs="楷体"/>
                <w:color w:val="auto"/>
                <w:sz w:val="30"/>
                <w:szCs w:val="30"/>
              </w:rPr>
              <w:t>人员处理情况并督办。</w:t>
            </w:r>
          </w:p>
          <w:p w14:paraId="797709BA">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完善采购人硬件与软件系统有效运作，确保采购人网络系统畅通无阻，通过系统分析统计出某时段采购人服务情况，问题出现与解决的情况，总结综合统计报表，为采购人建立服务支持方向提供指引等；</w:t>
            </w:r>
          </w:p>
          <w:p w14:paraId="66BD2EA9">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6.</w:t>
            </w:r>
            <w:r>
              <w:rPr>
                <w:rFonts w:hint="eastAsia" w:ascii="楷体" w:hAnsi="楷体" w:eastAsia="楷体" w:cs="楷体"/>
                <w:color w:val="auto"/>
                <w:sz w:val="30"/>
                <w:szCs w:val="30"/>
                <w:lang w:val="zh-CN"/>
              </w:rPr>
              <w:t>负责培训和指导采购人的IT日常使用工作，提升整体IT专业水平。</w:t>
            </w:r>
          </w:p>
          <w:p w14:paraId="02B4009C">
            <w:pPr>
              <w:widowControl/>
              <w:numPr>
                <w:ilvl w:val="255"/>
                <w:numId w:val="0"/>
              </w:numPr>
              <w:spacing w:line="276"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7.</w:t>
            </w:r>
            <w:r>
              <w:rPr>
                <w:rFonts w:hint="eastAsia" w:ascii="楷体" w:hAnsi="楷体" w:eastAsia="楷体" w:cs="楷体"/>
                <w:color w:val="auto"/>
                <w:sz w:val="30"/>
                <w:szCs w:val="30"/>
                <w:lang w:val="zh-CN"/>
              </w:rPr>
              <w:t>工作时间：工作日8:00至17:30</w:t>
            </w:r>
          </w:p>
        </w:tc>
      </w:tr>
      <w:tr w14:paraId="395A8E74">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auto" w:sz="4" w:space="0"/>
              <w:left w:val="single" w:color="auto" w:sz="2" w:space="0"/>
              <w:bottom w:val="single" w:color="auto" w:sz="2" w:space="0"/>
              <w:right w:val="single" w:color="auto" w:sz="4" w:space="0"/>
            </w:tcBorders>
            <w:vAlign w:val="center"/>
          </w:tcPr>
          <w:p w14:paraId="556B6820">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4</w:t>
            </w:r>
          </w:p>
        </w:tc>
        <w:tc>
          <w:tcPr>
            <w:tcW w:w="1190" w:type="dxa"/>
            <w:tcBorders>
              <w:top w:val="single" w:color="auto" w:sz="4" w:space="0"/>
              <w:left w:val="single" w:color="auto" w:sz="4" w:space="0"/>
              <w:bottom w:val="single" w:color="auto" w:sz="2" w:space="0"/>
              <w:right w:val="single" w:color="auto" w:sz="4" w:space="0"/>
            </w:tcBorders>
            <w:vAlign w:val="center"/>
          </w:tcPr>
          <w:p w14:paraId="14867243">
            <w:pPr>
              <w:spacing w:line="276"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驻场工程师</w:t>
            </w:r>
          </w:p>
        </w:tc>
        <w:tc>
          <w:tcPr>
            <w:tcW w:w="726" w:type="dxa"/>
            <w:tcBorders>
              <w:top w:val="single" w:color="auto" w:sz="4" w:space="0"/>
              <w:left w:val="single" w:color="auto" w:sz="4" w:space="0"/>
              <w:bottom w:val="single" w:color="auto" w:sz="2" w:space="0"/>
              <w:right w:val="single" w:color="auto" w:sz="4" w:space="0"/>
            </w:tcBorders>
            <w:vAlign w:val="center"/>
          </w:tcPr>
          <w:p w14:paraId="04DA37A1">
            <w:pPr>
              <w:spacing w:line="276"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w:t>
            </w:r>
            <w:r>
              <w:rPr>
                <w:rFonts w:ascii="楷体" w:hAnsi="楷体" w:eastAsia="楷体" w:cs="楷体"/>
                <w:color w:val="auto"/>
                <w:sz w:val="30"/>
                <w:szCs w:val="30"/>
                <w:lang w:val="zh-CN"/>
              </w:rPr>
              <w:t>6</w:t>
            </w:r>
            <w:r>
              <w:rPr>
                <w:rFonts w:hint="eastAsia" w:ascii="楷体" w:hAnsi="楷体" w:eastAsia="楷体" w:cs="楷体"/>
                <w:color w:val="auto"/>
                <w:sz w:val="30"/>
                <w:szCs w:val="30"/>
                <w:lang w:val="zh-CN"/>
              </w:rPr>
              <w:t>人</w:t>
            </w:r>
          </w:p>
        </w:tc>
        <w:tc>
          <w:tcPr>
            <w:tcW w:w="881" w:type="dxa"/>
            <w:tcBorders>
              <w:top w:val="single" w:color="auto" w:sz="4" w:space="0"/>
              <w:left w:val="single" w:color="auto" w:sz="4" w:space="0"/>
              <w:bottom w:val="single" w:color="auto" w:sz="2" w:space="0"/>
              <w:right w:val="single" w:color="auto" w:sz="4" w:space="0"/>
            </w:tcBorders>
            <w:vAlign w:val="center"/>
          </w:tcPr>
          <w:p w14:paraId="4294D34F">
            <w:pPr>
              <w:spacing w:line="276"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驻场</w:t>
            </w:r>
          </w:p>
        </w:tc>
        <w:tc>
          <w:tcPr>
            <w:tcW w:w="6047" w:type="dxa"/>
            <w:tcBorders>
              <w:top w:val="single" w:color="auto" w:sz="4" w:space="0"/>
              <w:left w:val="single" w:color="auto" w:sz="4" w:space="0"/>
              <w:bottom w:val="single" w:color="auto" w:sz="2" w:space="0"/>
              <w:right w:val="single" w:color="auto" w:sz="2" w:space="0"/>
            </w:tcBorders>
            <w:vAlign w:val="center"/>
          </w:tcPr>
          <w:p w14:paraId="627B63E6">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具有</w:t>
            </w:r>
            <w:r>
              <w:rPr>
                <w:rFonts w:hint="eastAsia" w:ascii="楷体" w:hAnsi="楷体" w:eastAsia="楷体" w:cs="楷体"/>
                <w:color w:val="auto"/>
                <w:sz w:val="30"/>
                <w:szCs w:val="30"/>
              </w:rPr>
              <w:t>计算机相关专业背景；均从事同类运维项目1年以上工作经验；具有</w:t>
            </w:r>
            <w:r>
              <w:rPr>
                <w:rFonts w:hint="eastAsia" w:ascii="楷体" w:hAnsi="楷体" w:eastAsia="楷体" w:cs="楷体"/>
                <w:color w:val="auto"/>
                <w:sz w:val="30"/>
                <w:szCs w:val="30"/>
                <w:lang w:val="zh-CN"/>
              </w:rPr>
              <w:t>一定的计算机相关终端硬件维修能力，以保证在现场维修打印机硬件以及维修其它设备的能力，减少送修频率，提高解决效率，保证服务质量；</w:t>
            </w:r>
          </w:p>
          <w:p w14:paraId="32B46578">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负责IT设备硬件和软件维护服务工作，实时响应采购人科室的服务请求，及时提供现场维修维护服务。</w:t>
            </w:r>
          </w:p>
          <w:p w14:paraId="4DA56A2F">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协调采购人的信息化建设，保证桌面终端硬件及应用如：电脑、打印机以及其工作操作系统、办公应用软件、杀毒软件等正常使用，主动向采购人汇报运作情况；</w:t>
            </w:r>
          </w:p>
          <w:p w14:paraId="5DE772C0">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负责终端设备的巡检工作；</w:t>
            </w:r>
          </w:p>
          <w:p w14:paraId="132A1C40">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按规定完成服务记录并填写各类报告文档；</w:t>
            </w:r>
          </w:p>
          <w:p w14:paraId="518A7753">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6.</w:t>
            </w:r>
            <w:r>
              <w:rPr>
                <w:rFonts w:hint="eastAsia" w:ascii="楷体" w:hAnsi="楷体" w:eastAsia="楷体" w:cs="楷体"/>
                <w:color w:val="auto"/>
                <w:sz w:val="30"/>
                <w:szCs w:val="30"/>
                <w:lang w:val="zh-CN"/>
              </w:rPr>
              <w:t>完成</w:t>
            </w:r>
            <w:r>
              <w:rPr>
                <w:rFonts w:hint="eastAsia" w:ascii="楷体" w:hAnsi="楷体" w:eastAsia="楷体" w:cs="楷体"/>
                <w:color w:val="auto"/>
                <w:sz w:val="30"/>
                <w:szCs w:val="30"/>
              </w:rPr>
              <w:t>采购人</w:t>
            </w:r>
            <w:r>
              <w:rPr>
                <w:rFonts w:hint="eastAsia" w:ascii="楷体" w:hAnsi="楷体" w:eastAsia="楷体" w:cs="楷体"/>
                <w:color w:val="auto"/>
                <w:sz w:val="30"/>
                <w:szCs w:val="30"/>
                <w:lang w:val="zh-CN"/>
              </w:rPr>
              <w:t>和</w:t>
            </w:r>
            <w:r>
              <w:rPr>
                <w:rFonts w:hint="eastAsia" w:ascii="楷体" w:hAnsi="楷体" w:eastAsia="楷体" w:cs="楷体"/>
                <w:color w:val="auto"/>
                <w:sz w:val="30"/>
                <w:szCs w:val="30"/>
              </w:rPr>
              <w:t>驻场服务主管及其他上级要求</w:t>
            </w:r>
            <w:r>
              <w:rPr>
                <w:rFonts w:hint="eastAsia" w:ascii="楷体" w:hAnsi="楷体" w:eastAsia="楷体" w:cs="楷体"/>
                <w:color w:val="auto"/>
                <w:sz w:val="30"/>
                <w:szCs w:val="30"/>
                <w:lang w:val="zh-CN"/>
              </w:rPr>
              <w:t>的其他任务。</w:t>
            </w:r>
          </w:p>
          <w:p w14:paraId="48108E35">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7.</w:t>
            </w:r>
            <w:r>
              <w:rPr>
                <w:rFonts w:hint="eastAsia" w:ascii="楷体" w:hAnsi="楷体" w:eastAsia="楷体" w:cs="楷体"/>
                <w:color w:val="auto"/>
                <w:sz w:val="30"/>
                <w:szCs w:val="30"/>
                <w:lang w:val="zh-CN"/>
              </w:rPr>
              <w:t>工作时间：工作日8:00至17:30；</w:t>
            </w:r>
          </w:p>
          <w:p w14:paraId="3E2C660A">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8.南北院区</w:t>
            </w:r>
            <w:r>
              <w:rPr>
                <w:rFonts w:hint="eastAsia" w:ascii="楷体" w:hAnsi="楷体" w:eastAsia="楷体" w:cs="楷体"/>
                <w:color w:val="auto"/>
                <w:sz w:val="30"/>
                <w:szCs w:val="30"/>
                <w:lang w:val="zh-CN"/>
              </w:rPr>
              <w:t>值班时间：工作日7:00-8：00，17：30-21：00；非工作日8：00-21：00（不少于1人驻场服务）；花都院区工作日值班时间1</w:t>
            </w:r>
            <w:r>
              <w:rPr>
                <w:rFonts w:ascii="楷体" w:hAnsi="楷体" w:eastAsia="楷体" w:cs="楷体"/>
                <w:color w:val="auto"/>
                <w:sz w:val="30"/>
                <w:szCs w:val="30"/>
                <w:lang w:val="zh-CN"/>
              </w:rPr>
              <w:t>7</w:t>
            </w:r>
            <w:r>
              <w:rPr>
                <w:rFonts w:hint="eastAsia" w:ascii="楷体" w:hAnsi="楷体" w:eastAsia="楷体" w:cs="楷体"/>
                <w:color w:val="auto"/>
                <w:sz w:val="30"/>
                <w:szCs w:val="30"/>
                <w:lang w:val="zh-CN"/>
              </w:rPr>
              <w:t>:</w:t>
            </w:r>
            <w:r>
              <w:rPr>
                <w:rFonts w:ascii="楷体" w:hAnsi="楷体" w:eastAsia="楷体" w:cs="楷体"/>
                <w:color w:val="auto"/>
                <w:sz w:val="30"/>
                <w:szCs w:val="30"/>
                <w:lang w:val="zh-CN"/>
              </w:rPr>
              <w:t>30-8</w:t>
            </w:r>
            <w:r>
              <w:rPr>
                <w:rFonts w:hint="eastAsia" w:ascii="楷体" w:hAnsi="楷体" w:eastAsia="楷体" w:cs="楷体"/>
                <w:color w:val="auto"/>
                <w:sz w:val="30"/>
                <w:szCs w:val="30"/>
                <w:lang w:val="zh-CN"/>
              </w:rPr>
              <w:t>：0</w:t>
            </w:r>
            <w:r>
              <w:rPr>
                <w:rFonts w:ascii="楷体" w:hAnsi="楷体" w:eastAsia="楷体" w:cs="楷体"/>
                <w:color w:val="auto"/>
                <w:sz w:val="30"/>
                <w:szCs w:val="30"/>
                <w:lang w:val="zh-CN"/>
              </w:rPr>
              <w:t>0</w:t>
            </w:r>
            <w:r>
              <w:rPr>
                <w:rFonts w:hint="eastAsia" w:ascii="楷体" w:hAnsi="楷体" w:eastAsia="楷体" w:cs="楷体"/>
                <w:color w:val="auto"/>
                <w:sz w:val="30"/>
                <w:szCs w:val="30"/>
                <w:lang w:val="zh-CN"/>
              </w:rPr>
              <w:t>，非工作日8：00-</w:t>
            </w:r>
            <w:r>
              <w:rPr>
                <w:rFonts w:ascii="楷体" w:hAnsi="楷体" w:eastAsia="楷体" w:cs="楷体"/>
                <w:color w:val="auto"/>
                <w:sz w:val="30"/>
                <w:szCs w:val="30"/>
                <w:lang w:val="zh-CN"/>
              </w:rPr>
              <w:t>8</w:t>
            </w:r>
            <w:r>
              <w:rPr>
                <w:rFonts w:hint="eastAsia" w:ascii="楷体" w:hAnsi="楷体" w:eastAsia="楷体" w:cs="楷体"/>
                <w:color w:val="auto"/>
                <w:sz w:val="30"/>
                <w:szCs w:val="30"/>
                <w:lang w:val="zh-CN"/>
              </w:rPr>
              <w:t>：00（不少于1人驻场服务）</w:t>
            </w:r>
          </w:p>
          <w:p w14:paraId="48535EDB">
            <w:pPr>
              <w:pStyle w:val="2"/>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9.投标人</w:t>
            </w:r>
            <w:r>
              <w:rPr>
                <w:rFonts w:hint="eastAsia" w:ascii="楷体" w:hAnsi="楷体" w:eastAsia="楷体" w:cs="楷体"/>
                <w:color w:val="auto"/>
                <w:sz w:val="30"/>
                <w:szCs w:val="30"/>
                <w:lang w:val="zh-CN"/>
              </w:rPr>
              <w:t>必须具有会议保障能力，承诺协助采购人对会议中的音视频进行效果调试，确保全程会议设备的正常使用（需提供承诺函并加盖</w:t>
            </w:r>
            <w:r>
              <w:rPr>
                <w:rFonts w:hint="eastAsia" w:ascii="楷体" w:hAnsi="楷体" w:eastAsia="楷体" w:cs="楷体"/>
                <w:color w:val="auto"/>
                <w:sz w:val="30"/>
                <w:szCs w:val="30"/>
              </w:rPr>
              <w:t>投标</w:t>
            </w:r>
            <w:r>
              <w:rPr>
                <w:rFonts w:hint="eastAsia" w:ascii="楷体" w:hAnsi="楷体" w:eastAsia="楷体" w:cs="楷体"/>
                <w:color w:val="auto"/>
                <w:sz w:val="30"/>
                <w:szCs w:val="30"/>
                <w:lang w:val="zh-CN"/>
              </w:rPr>
              <w:t>人公章，格式自拟）。</w:t>
            </w:r>
          </w:p>
          <w:p w14:paraId="416ACD80">
            <w:pPr>
              <w:widowControl/>
              <w:numPr>
                <w:ilvl w:val="255"/>
                <w:numId w:val="0"/>
              </w:numPr>
              <w:spacing w:line="360" w:lineRule="auto"/>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rPr>
              <w:t>10.</w:t>
            </w:r>
            <w:r>
              <w:rPr>
                <w:rFonts w:hint="eastAsia" w:ascii="楷体" w:hAnsi="楷体" w:eastAsia="楷体" w:cs="楷体"/>
                <w:color w:val="auto"/>
                <w:sz w:val="30"/>
                <w:szCs w:val="30"/>
                <w:lang w:val="zh-CN"/>
              </w:rPr>
              <w:t>负责协助采购人在会议开始前半小时打开会议室设备（科室自备参会设备），并协助进行视音频的效果调试，确保会议的正常使用。如发现问题，及时向采购人反映，排除故障。为保障会议效果，期间需要根据会议负责人的需求操作会议室的摄像头、麦克风、视频矩阵及调音台。需驻场直至结束，全程保障会议设备正常进行；工作时间：南北院各安排1人，工作日8：00至17:30(根据每周会议时间</w:t>
            </w:r>
            <w:r>
              <w:rPr>
                <w:rFonts w:hint="eastAsia" w:ascii="楷体" w:hAnsi="楷体" w:eastAsia="楷体" w:cs="楷体"/>
                <w:color w:val="auto"/>
                <w:sz w:val="30"/>
                <w:szCs w:val="30"/>
              </w:rPr>
              <w:t>灵活</w:t>
            </w:r>
            <w:r>
              <w:rPr>
                <w:rFonts w:hint="eastAsia" w:ascii="楷体" w:hAnsi="楷体" w:eastAsia="楷体" w:cs="楷体"/>
                <w:color w:val="auto"/>
                <w:sz w:val="30"/>
                <w:szCs w:val="30"/>
                <w:lang w:val="zh-CN"/>
              </w:rPr>
              <w:t>调整上班时间）。</w:t>
            </w:r>
          </w:p>
        </w:tc>
      </w:tr>
      <w:bookmarkEnd w:id="5"/>
    </w:tbl>
    <w:p w14:paraId="05576872">
      <w:pPr>
        <w:pStyle w:val="9"/>
        <w:numPr>
          <w:ilvl w:val="255"/>
          <w:numId w:val="0"/>
        </w:numPr>
        <w:tabs>
          <w:tab w:val="left" w:pos="540"/>
        </w:tabs>
        <w:snapToGrid w:val="0"/>
        <w:spacing w:line="360" w:lineRule="auto"/>
        <w:rPr>
          <w:rFonts w:hint="eastAsia" w:ascii="楷体" w:hAnsi="楷体" w:eastAsia="楷体" w:cs="楷体"/>
          <w:b/>
          <w:color w:val="auto"/>
          <w:sz w:val="30"/>
          <w:szCs w:val="30"/>
        </w:rPr>
      </w:pPr>
    </w:p>
    <w:p w14:paraId="6217C1A5">
      <w:pPr>
        <w:pStyle w:val="9"/>
        <w:numPr>
          <w:ilvl w:val="255"/>
          <w:numId w:val="0"/>
        </w:numPr>
        <w:tabs>
          <w:tab w:val="left" w:pos="540"/>
        </w:tabs>
        <w:snapToGrid w:val="0"/>
        <w:spacing w:line="360" w:lineRule="auto"/>
        <w:rPr>
          <w:rFonts w:hint="eastAsia" w:ascii="楷体" w:hAnsi="楷体" w:eastAsia="楷体" w:cs="楷体"/>
          <w:b/>
          <w:color w:val="auto"/>
          <w:sz w:val="30"/>
          <w:szCs w:val="30"/>
          <w:lang w:val="zh-CN"/>
        </w:rPr>
      </w:pPr>
      <w:r>
        <w:rPr>
          <w:rFonts w:hint="eastAsia" w:ascii="楷体" w:hAnsi="楷体" w:eastAsia="楷体" w:cs="楷体"/>
          <w:b/>
          <w:color w:val="auto"/>
          <w:sz w:val="30"/>
          <w:szCs w:val="30"/>
        </w:rPr>
        <w:t>（五）其他</w:t>
      </w:r>
      <w:r>
        <w:rPr>
          <w:rFonts w:hint="eastAsia" w:ascii="楷体" w:hAnsi="楷体" w:eastAsia="楷体" w:cs="楷体"/>
          <w:b/>
          <w:color w:val="auto"/>
          <w:sz w:val="30"/>
          <w:szCs w:val="30"/>
          <w:lang w:val="zh-CN"/>
        </w:rPr>
        <w:t>服务</w:t>
      </w:r>
      <w:r>
        <w:rPr>
          <w:rFonts w:hint="eastAsia" w:ascii="楷体" w:hAnsi="楷体" w:eastAsia="楷体" w:cs="楷体"/>
          <w:b/>
          <w:color w:val="auto"/>
          <w:sz w:val="30"/>
          <w:szCs w:val="30"/>
        </w:rPr>
        <w:t>要求</w:t>
      </w:r>
      <w:r>
        <w:rPr>
          <w:rFonts w:hint="eastAsia" w:ascii="楷体" w:hAnsi="楷体" w:eastAsia="楷体" w:cs="楷体"/>
          <w:b/>
          <w:color w:val="auto"/>
          <w:sz w:val="30"/>
          <w:szCs w:val="30"/>
          <w:lang w:val="zh-CN"/>
        </w:rPr>
        <w:t>及指标</w:t>
      </w:r>
    </w:p>
    <w:p w14:paraId="446CB80C">
      <w:pPr>
        <w:pStyle w:val="6"/>
        <w:numPr>
          <w:ilvl w:val="255"/>
          <w:numId w:val="0"/>
        </w:num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具体服务要求</w:t>
      </w:r>
    </w:p>
    <w:p w14:paraId="19DD8DC9">
      <w:pPr>
        <w:pStyle w:val="6"/>
        <w:numPr>
          <w:ilvl w:val="255"/>
          <w:numId w:val="0"/>
        </w:numPr>
        <w:spacing w:line="360" w:lineRule="auto"/>
        <w:rPr>
          <w:rFonts w:hint="eastAsia" w:ascii="楷体" w:hAnsi="楷体" w:eastAsia="楷体" w:cs="楷体"/>
          <w:b w:val="0"/>
          <w:bCs w:val="0"/>
          <w:color w:val="auto"/>
          <w:sz w:val="30"/>
          <w:szCs w:val="30"/>
          <w:lang w:val="zh-CN"/>
        </w:rPr>
      </w:pPr>
      <w:r>
        <w:rPr>
          <w:rFonts w:hint="eastAsia" w:ascii="楷体" w:hAnsi="楷体" w:eastAsia="楷体" w:cs="楷体"/>
          <w:b w:val="0"/>
          <w:bCs w:val="0"/>
          <w:color w:val="auto"/>
          <w:sz w:val="30"/>
          <w:szCs w:val="30"/>
          <w:lang w:val="zh-CN"/>
        </w:rPr>
        <w:t>包括但不限于</w:t>
      </w:r>
      <w:r>
        <w:rPr>
          <w:rFonts w:hint="eastAsia" w:ascii="楷体" w:hAnsi="楷体" w:eastAsia="楷体" w:cs="楷体"/>
          <w:b w:val="0"/>
          <w:bCs w:val="0"/>
          <w:color w:val="auto"/>
          <w:sz w:val="30"/>
          <w:szCs w:val="30"/>
        </w:rPr>
        <w:t>以下内容</w:t>
      </w:r>
      <w:r>
        <w:rPr>
          <w:rFonts w:hint="eastAsia" w:ascii="楷体" w:hAnsi="楷体" w:eastAsia="楷体" w:cs="楷体"/>
          <w:b w:val="0"/>
          <w:bCs w:val="0"/>
          <w:color w:val="auto"/>
          <w:sz w:val="30"/>
          <w:szCs w:val="30"/>
          <w:lang w:val="zh-CN"/>
        </w:rPr>
        <w:t>：</w:t>
      </w:r>
    </w:p>
    <w:p w14:paraId="6395214C">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）投标人在合同/协议期内承担对采购人正在使用的办公电脑、打印机和其他外设等硬件及计算机常用软件（如操作系统 WINDOWS、办公OFFICE软件、多媒体软件、医院简单应用软件等）的维护保养责任。</w:t>
      </w:r>
    </w:p>
    <w:p w14:paraId="6B2B532C">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投标人应为采购人的电脑、外设以及相关IT设备建立一套完整的科学的管理档案资料，存于投标人IT运维系统设备资产档案库中（不得向第三方透露），以便合理的、科学的管理采购人设备的正常使用，并为定期科学管理、维护保养设备提供必要的依据。</w:t>
      </w:r>
    </w:p>
    <w:p w14:paraId="7822B4C5">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）投标人对所有的设备建立档案后，应记录设备使用情况、服务请求执行记录和维修备件替换情况等信息，并记录每个服务请求的响应时间、排除故障时间。</w:t>
      </w:r>
    </w:p>
    <w:p w14:paraId="667DD815">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投标人保证严格保守采购人商业秘密（包括但不限于投标人为采购人服务过程中获得的各种文件、报告、技术资料、经营信息、客户信息等），在未取得采购人书面同意的情况下，投标人不得以任何方式让任何第三方获知上述秘密。投标人在进行常规维护时，应遵守采购人有关管理规定，所涉及采购人的商业秘密，均属采购人产权，未经采购人书面同意，投标人不得以任何形式或介质获取。</w:t>
      </w:r>
    </w:p>
    <w:p w14:paraId="04D79AD7">
      <w:pPr>
        <w:tabs>
          <w:tab w:val="left" w:pos="840"/>
        </w:tabs>
        <w:snapToGrid w:val="0"/>
        <w:spacing w:line="360" w:lineRule="auto"/>
        <w:ind w:firstLine="600" w:firstLineChars="200"/>
        <w:rPr>
          <w:rFonts w:hint="eastAsia" w:ascii="楷体" w:hAnsi="楷体" w:eastAsia="楷体" w:cs="楷体"/>
          <w:color w:val="auto"/>
          <w:sz w:val="30"/>
          <w:szCs w:val="30"/>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）排除故障时,投标人应根据实际情况</w:t>
      </w:r>
      <w:r>
        <w:rPr>
          <w:rFonts w:hint="eastAsia" w:ascii="楷体" w:hAnsi="楷体" w:eastAsia="楷体" w:cs="楷体"/>
          <w:color w:val="auto"/>
          <w:sz w:val="30"/>
          <w:szCs w:val="30"/>
        </w:rPr>
        <w:t>给</w:t>
      </w:r>
      <w:r>
        <w:rPr>
          <w:rFonts w:hint="eastAsia" w:ascii="楷体" w:hAnsi="楷体" w:eastAsia="楷体" w:cs="楷体"/>
          <w:color w:val="auto"/>
          <w:sz w:val="30"/>
          <w:szCs w:val="30"/>
          <w:lang w:val="zh-CN"/>
        </w:rPr>
        <w:t>出最佳应急方法及备选方案，能即时解决的应现场解决，现场平均解决时间不超过4小时；非现场能处理的故障并且不需送院外维修的，24小时之内维修好；判断为硬件故障的，需要送院外（第三方维修除外）维修的，48</w:t>
      </w:r>
      <w:r>
        <w:rPr>
          <w:rFonts w:hint="eastAsia" w:ascii="楷体" w:hAnsi="楷体" w:eastAsia="楷体" w:cs="楷体"/>
          <w:color w:val="auto"/>
          <w:sz w:val="30"/>
          <w:szCs w:val="30"/>
          <w:lang w:val="en-US" w:eastAsia="zh-CN"/>
        </w:rPr>
        <w:t>小</w:t>
      </w:r>
      <w:r>
        <w:rPr>
          <w:rFonts w:hint="eastAsia" w:ascii="楷体" w:hAnsi="楷体" w:eastAsia="楷体" w:cs="楷体"/>
          <w:color w:val="auto"/>
          <w:sz w:val="30"/>
          <w:szCs w:val="30"/>
          <w:lang w:val="zh-CN"/>
        </w:rPr>
        <w:t>时之内维修好；特殊情况未能在响应时间内处理完成的，必须立即向采购人相关管理部门汇报。投标人无法解决故障或所需解决时间多于48小时的，采购人有权自行另请第三方公司修复，由此发生的全部费用由中标人支付。故障解决率99%</w:t>
      </w:r>
      <w:r>
        <w:rPr>
          <w:rFonts w:hint="eastAsia" w:ascii="楷体" w:hAnsi="楷体" w:eastAsia="楷体" w:cs="楷体"/>
          <w:color w:val="auto"/>
          <w:sz w:val="30"/>
          <w:szCs w:val="30"/>
        </w:rPr>
        <w:t>及</w:t>
      </w:r>
      <w:r>
        <w:rPr>
          <w:rFonts w:hint="eastAsia" w:ascii="楷体" w:hAnsi="楷体" w:eastAsia="楷体" w:cs="楷体"/>
          <w:color w:val="auto"/>
          <w:sz w:val="30"/>
          <w:szCs w:val="30"/>
          <w:lang w:val="zh-CN"/>
        </w:rPr>
        <w:t>以上，服务满意度要达到85%</w:t>
      </w:r>
      <w:r>
        <w:rPr>
          <w:rFonts w:hint="eastAsia" w:ascii="楷体" w:hAnsi="楷体" w:eastAsia="楷体" w:cs="楷体"/>
          <w:color w:val="auto"/>
          <w:sz w:val="30"/>
          <w:szCs w:val="30"/>
        </w:rPr>
        <w:t>及</w:t>
      </w:r>
      <w:r>
        <w:rPr>
          <w:rFonts w:hint="eastAsia" w:ascii="楷体" w:hAnsi="楷体" w:eastAsia="楷体" w:cs="楷体"/>
          <w:color w:val="auto"/>
          <w:sz w:val="30"/>
          <w:szCs w:val="30"/>
          <w:lang w:val="zh-CN"/>
        </w:rPr>
        <w:t>以上。</w:t>
      </w:r>
    </w:p>
    <w:p w14:paraId="5E5BCB39">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6</w:t>
      </w:r>
      <w:r>
        <w:rPr>
          <w:rFonts w:hint="eastAsia" w:ascii="楷体" w:hAnsi="楷体" w:eastAsia="楷体" w:cs="楷体"/>
          <w:color w:val="auto"/>
          <w:sz w:val="30"/>
          <w:szCs w:val="30"/>
          <w:lang w:val="zh-CN"/>
        </w:rPr>
        <w:t>）投标人应安排</w:t>
      </w:r>
      <w:r>
        <w:rPr>
          <w:rFonts w:hint="eastAsia" w:ascii="楷体" w:hAnsi="楷体" w:eastAsia="楷体" w:cs="楷体"/>
          <w:color w:val="auto"/>
          <w:sz w:val="30"/>
          <w:szCs w:val="30"/>
        </w:rPr>
        <w:t>业务</w:t>
      </w:r>
      <w:r>
        <w:rPr>
          <w:rFonts w:hint="eastAsia" w:ascii="楷体" w:hAnsi="楷体" w:eastAsia="楷体" w:cs="楷体"/>
          <w:color w:val="auto"/>
          <w:sz w:val="30"/>
          <w:szCs w:val="30"/>
          <w:lang w:val="zh-CN"/>
        </w:rPr>
        <w:t>熟练的技术人员进行驻场服务，</w:t>
      </w:r>
      <w:r>
        <w:rPr>
          <w:rFonts w:hint="eastAsia" w:ascii="楷体" w:hAnsi="楷体" w:eastAsia="楷体" w:cs="楷体"/>
          <w:color w:val="auto"/>
          <w:sz w:val="30"/>
          <w:szCs w:val="30"/>
        </w:rPr>
        <w:t>以</w:t>
      </w:r>
      <w:r>
        <w:rPr>
          <w:rFonts w:hint="eastAsia" w:ascii="楷体" w:hAnsi="楷体" w:eastAsia="楷体" w:cs="楷体"/>
          <w:color w:val="auto"/>
          <w:sz w:val="30"/>
          <w:szCs w:val="30"/>
          <w:lang w:val="zh-CN"/>
        </w:rPr>
        <w:t>提供较好的服务质量。投标人技术人员在采购人现场工作、活动时，需遵守采购人的各项规章管理制度，听从有关人员的工作安排和引导；上班时间到主要服务对象处如门诊等重要科室巡查，主动解决问题；接到故障通知，应第一时间赶到现场，确定问题原因，如果属于服务范围内的按流程维修，否则通知采购人相关管理部门处理。</w:t>
      </w:r>
    </w:p>
    <w:p w14:paraId="02902E7D">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7</w:t>
      </w:r>
      <w:r>
        <w:rPr>
          <w:rFonts w:hint="eastAsia" w:ascii="楷体" w:hAnsi="楷体" w:eastAsia="楷体" w:cs="楷体"/>
          <w:color w:val="auto"/>
          <w:sz w:val="30"/>
          <w:szCs w:val="30"/>
          <w:lang w:val="zh-CN"/>
        </w:rPr>
        <w:t>）投标人对采购人设备应用软件的疑难问题应提供必要的技术支持。</w:t>
      </w:r>
    </w:p>
    <w:p w14:paraId="705430A6">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8</w:t>
      </w:r>
      <w:r>
        <w:rPr>
          <w:rFonts w:hint="eastAsia" w:ascii="楷体" w:hAnsi="楷体" w:eastAsia="楷体" w:cs="楷体"/>
          <w:color w:val="auto"/>
          <w:sz w:val="30"/>
          <w:szCs w:val="30"/>
          <w:lang w:val="zh-CN"/>
        </w:rPr>
        <w:t>）采购人的业务系统、专用软件及采购人内部开发、订制的软件不属保养范围，但投标人有义务</w:t>
      </w:r>
      <w:r>
        <w:rPr>
          <w:rFonts w:hint="eastAsia" w:ascii="楷体" w:hAnsi="楷体" w:eastAsia="楷体" w:cs="楷体"/>
          <w:color w:val="auto"/>
          <w:sz w:val="30"/>
          <w:szCs w:val="30"/>
        </w:rPr>
        <w:t>协</w:t>
      </w:r>
      <w:r>
        <w:rPr>
          <w:rFonts w:hint="eastAsia" w:ascii="楷体" w:hAnsi="楷体" w:eastAsia="楷体" w:cs="楷体"/>
          <w:color w:val="auto"/>
          <w:sz w:val="30"/>
          <w:szCs w:val="30"/>
          <w:lang w:val="zh-CN"/>
        </w:rPr>
        <w:t>助采购人安装不同的应用软件，提供相应的操作系统软件环境，并提供一定的指导使用。发生故障时，投标人有义务协助转移交接工作</w:t>
      </w:r>
      <w:r>
        <w:rPr>
          <w:rFonts w:hint="eastAsia" w:ascii="楷体" w:hAnsi="楷体" w:eastAsia="楷体" w:cs="楷体"/>
          <w:color w:val="auto"/>
          <w:sz w:val="30"/>
          <w:szCs w:val="30"/>
        </w:rPr>
        <w:t>给</w:t>
      </w:r>
      <w:r>
        <w:rPr>
          <w:rFonts w:hint="eastAsia" w:ascii="楷体" w:hAnsi="楷体" w:eastAsia="楷体" w:cs="楷体"/>
          <w:color w:val="auto"/>
          <w:sz w:val="30"/>
          <w:szCs w:val="30"/>
          <w:lang w:val="zh-CN"/>
        </w:rPr>
        <w:t>相关责任供应商或通知采购人相关部门处理。</w:t>
      </w:r>
    </w:p>
    <w:p w14:paraId="68DB35D5">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9</w:t>
      </w:r>
      <w:r>
        <w:rPr>
          <w:rFonts w:hint="eastAsia" w:ascii="楷体" w:hAnsi="楷体" w:eastAsia="楷体" w:cs="楷体"/>
          <w:color w:val="auto"/>
          <w:sz w:val="30"/>
          <w:szCs w:val="30"/>
          <w:lang w:val="zh-CN"/>
        </w:rPr>
        <w:t>）对未过厂家保修期的设备，发生故障时由投标人先行了解并作出判断，需要时应协助采购人直接通知相关保修公司进行保修维护；对于达到报废年限的设备，投标人为采购人提供技术评估，确定满足报废条件的，由采购人执行报废流程，投标人应提供必要协助，统一处理。</w:t>
      </w:r>
    </w:p>
    <w:p w14:paraId="3CAD21F1">
      <w:pPr>
        <w:pStyle w:val="2"/>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10</w:t>
      </w:r>
      <w:r>
        <w:rPr>
          <w:rFonts w:hint="eastAsia" w:ascii="楷体" w:hAnsi="楷体" w:eastAsia="楷体" w:cs="楷体"/>
          <w:color w:val="auto"/>
          <w:sz w:val="30"/>
          <w:szCs w:val="30"/>
          <w:lang w:val="zh-CN"/>
        </w:rPr>
        <w:t>）投标人在合同期内每年度服务结束</w:t>
      </w:r>
      <w:r>
        <w:rPr>
          <w:rFonts w:hint="eastAsia" w:ascii="楷体" w:hAnsi="楷体" w:eastAsia="楷体" w:cs="楷体"/>
          <w:color w:val="auto"/>
          <w:sz w:val="30"/>
          <w:szCs w:val="30"/>
        </w:rPr>
        <w:t>前10个工作日内</w:t>
      </w:r>
      <w:r>
        <w:rPr>
          <w:rFonts w:hint="eastAsia" w:ascii="楷体" w:hAnsi="楷体" w:eastAsia="楷体" w:cs="楷体"/>
          <w:color w:val="auto"/>
          <w:sz w:val="30"/>
          <w:szCs w:val="30"/>
          <w:lang w:val="zh-CN"/>
        </w:rPr>
        <w:t>应向采购人提交年度维保总结报告，包括但不限于采购人投保设备的运行情况、维修、保养、更换零配件情况等。</w:t>
      </w:r>
    </w:p>
    <w:p w14:paraId="58FBF42A">
      <w:pPr>
        <w:pStyle w:val="6"/>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服务团队规范要求</w:t>
      </w:r>
    </w:p>
    <w:p w14:paraId="54D2D263">
      <w:pPr>
        <w:spacing w:line="360" w:lineRule="auto"/>
        <w:ind w:left="210" w:leftChars="1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）维护及配送人员衣着要整洁，佩戴胸卡，使用礼貌用语，不得使用服务禁语；</w:t>
      </w:r>
    </w:p>
    <w:p w14:paraId="36DE05B8">
      <w:pPr>
        <w:tabs>
          <w:tab w:val="left" w:pos="840"/>
        </w:tabs>
        <w:snapToGrid w:val="0"/>
        <w:spacing w:line="360" w:lineRule="auto"/>
        <w:ind w:firstLine="300" w:firstLineChars="1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提供</w:t>
      </w:r>
      <w:r>
        <w:rPr>
          <w:rFonts w:hint="eastAsia" w:ascii="楷体" w:hAnsi="楷体" w:eastAsia="楷体" w:cs="楷体"/>
          <w:color w:val="auto"/>
          <w:sz w:val="30"/>
          <w:szCs w:val="30"/>
          <w:lang w:val="zh-CN"/>
        </w:rPr>
        <w:t>现场</w:t>
      </w:r>
      <w:r>
        <w:rPr>
          <w:rFonts w:hint="eastAsia" w:ascii="楷体" w:hAnsi="楷体" w:eastAsia="楷体" w:cs="楷体"/>
          <w:color w:val="auto"/>
          <w:sz w:val="30"/>
          <w:szCs w:val="30"/>
        </w:rPr>
        <w:t>维护</w:t>
      </w:r>
      <w:r>
        <w:rPr>
          <w:rFonts w:hint="eastAsia" w:ascii="楷体" w:hAnsi="楷体" w:eastAsia="楷体" w:cs="楷体"/>
          <w:color w:val="auto"/>
          <w:sz w:val="30"/>
          <w:szCs w:val="30"/>
          <w:lang w:val="zh-CN"/>
        </w:rPr>
        <w:t>服务</w:t>
      </w:r>
      <w:r>
        <w:rPr>
          <w:rFonts w:hint="eastAsia" w:ascii="楷体" w:hAnsi="楷体" w:eastAsia="楷体" w:cs="楷体"/>
          <w:color w:val="auto"/>
          <w:sz w:val="30"/>
          <w:szCs w:val="30"/>
        </w:rPr>
        <w:t>时，</w:t>
      </w:r>
      <w:r>
        <w:rPr>
          <w:rFonts w:hint="eastAsia" w:ascii="楷体" w:hAnsi="楷体" w:eastAsia="楷体" w:cs="楷体"/>
          <w:color w:val="auto"/>
          <w:sz w:val="30"/>
          <w:szCs w:val="30"/>
          <w:lang w:val="zh-CN"/>
        </w:rPr>
        <w:t>要求</w:t>
      </w:r>
      <w:r>
        <w:rPr>
          <w:rFonts w:hint="eastAsia" w:ascii="楷体" w:hAnsi="楷体" w:eastAsia="楷体" w:cs="楷体"/>
          <w:color w:val="auto"/>
          <w:sz w:val="30"/>
          <w:szCs w:val="30"/>
        </w:rPr>
        <w:t>穿着</w:t>
      </w:r>
      <w:r>
        <w:rPr>
          <w:rFonts w:hint="eastAsia" w:ascii="楷体" w:hAnsi="楷体" w:eastAsia="楷体" w:cs="楷体"/>
          <w:color w:val="auto"/>
          <w:sz w:val="30"/>
          <w:szCs w:val="30"/>
          <w:lang w:val="zh-CN"/>
        </w:rPr>
        <w:t>统一的工作服饰，态度要友好、耐心，沟通良好。</w:t>
      </w:r>
    </w:p>
    <w:p w14:paraId="7E8E30F1">
      <w:pPr>
        <w:spacing w:line="360" w:lineRule="auto"/>
        <w:ind w:left="210" w:leftChars="1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）现场服务时，严格遵守医院内部各项规章制度，与采购人相关人员</w:t>
      </w:r>
      <w:r>
        <w:rPr>
          <w:rFonts w:hint="eastAsia" w:ascii="楷体" w:hAnsi="楷体" w:eastAsia="楷体" w:cs="楷体"/>
          <w:color w:val="auto"/>
          <w:sz w:val="30"/>
          <w:szCs w:val="30"/>
        </w:rPr>
        <w:t>进行</w:t>
      </w:r>
      <w:r>
        <w:rPr>
          <w:rFonts w:hint="eastAsia" w:ascii="楷体" w:hAnsi="楷体" w:eastAsia="楷体" w:cs="楷体"/>
          <w:color w:val="auto"/>
          <w:sz w:val="30"/>
          <w:szCs w:val="30"/>
          <w:lang w:val="zh-CN"/>
        </w:rPr>
        <w:t>充分沟通，诚恳地解答客户提出的相关问题，不得做出有损我院形象和利益的事情。</w:t>
      </w:r>
    </w:p>
    <w:p w14:paraId="2FF88A3C">
      <w:pPr>
        <w:ind w:firstLine="354" w:firstLineChars="118"/>
        <w:rPr>
          <w:rFonts w:hint="eastAsia" w:ascii="楷体" w:hAnsi="楷体" w:eastAsia="楷体" w:cs="楷体"/>
          <w:b/>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4</w:t>
      </w:r>
      <w:r>
        <w:rPr>
          <w:rFonts w:hint="eastAsia" w:ascii="楷体" w:hAnsi="楷体" w:eastAsia="楷体" w:cs="楷体"/>
          <w:color w:val="auto"/>
          <w:sz w:val="30"/>
          <w:szCs w:val="30"/>
          <w:lang w:val="zh-CN"/>
        </w:rPr>
        <w:t>）尊重采购人用户个人隐私，保守采购人秘密，由于泄密造成采购人损失的，投标人将承担由此产生的一切损失和法律责任。</w:t>
      </w:r>
    </w:p>
    <w:p w14:paraId="6CDBDCDC">
      <w:pPr>
        <w:spacing w:line="360" w:lineRule="auto"/>
        <w:rPr>
          <w:rFonts w:hint="eastAsia" w:ascii="楷体" w:hAnsi="楷体" w:eastAsia="楷体" w:cs="楷体"/>
          <w:b/>
          <w:bCs/>
          <w:color w:val="auto"/>
          <w:sz w:val="30"/>
          <w:szCs w:val="30"/>
          <w:lang w:val="zh-CN"/>
        </w:rPr>
      </w:pPr>
      <w:r>
        <w:rPr>
          <w:rFonts w:hint="eastAsia" w:ascii="楷体" w:hAnsi="楷体" w:eastAsia="楷体" w:cs="楷体"/>
          <w:b/>
          <w:bCs/>
          <w:color w:val="auto"/>
          <w:sz w:val="30"/>
          <w:szCs w:val="30"/>
        </w:rPr>
        <w:t>3、</w:t>
      </w:r>
      <w:r>
        <w:rPr>
          <w:rFonts w:hint="eastAsia" w:ascii="楷体" w:hAnsi="楷体" w:eastAsia="楷体" w:cs="楷体"/>
          <w:b/>
          <w:bCs/>
          <w:color w:val="auto"/>
          <w:sz w:val="30"/>
          <w:szCs w:val="30"/>
          <w:lang w:val="zh-CN"/>
        </w:rPr>
        <w:t>科学管理要求</w:t>
      </w:r>
    </w:p>
    <w:p w14:paraId="49B4E58C">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投标人须对</w:t>
      </w:r>
      <w:r>
        <w:rPr>
          <w:rFonts w:hint="eastAsia" w:ascii="楷体" w:hAnsi="楷体" w:eastAsia="楷体" w:cs="楷体"/>
          <w:color w:val="auto"/>
          <w:sz w:val="30"/>
          <w:szCs w:val="30"/>
          <w:lang w:val="zh-CN"/>
        </w:rPr>
        <w:t>驻场人员进行科学化管理，用信息化手段管理日常报障及调度等工作，并能查询统计相关信息。方便采购人对投标人的日常工作进行评估。</w:t>
      </w:r>
    </w:p>
    <w:p w14:paraId="3BD70EFD">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1</w:t>
      </w:r>
      <w:r>
        <w:rPr>
          <w:rFonts w:hint="eastAsia" w:ascii="楷体" w:hAnsi="楷体" w:eastAsia="楷体" w:cs="楷体"/>
          <w:color w:val="auto"/>
          <w:sz w:val="30"/>
          <w:szCs w:val="30"/>
          <w:lang w:val="zh-CN"/>
        </w:rPr>
        <w:t>）投标人需提供IT运维管理系统，所提供的系统能对服务数据和统计进行多样化、多角度、科学化的数据分析。支持通过手机端操作日常服务和通过投屏等方式在大屏幕上实时播放服务功能。【投标人自有的，须提供IT运维服务系统管理平台软件的的计算机软件著作权登记证书复印件（须能体现投标人为著作权人）和相应系统页面截图证明加盖投标人公章；投标人租赁（购买）的，须提供相应系统页面截图及计算机软件著作权登记证书复印件(能体现出租人/卖方为著作权人)和相关租赁（购买）合同及租赁（购买）发票。</w:t>
      </w:r>
      <w:r>
        <w:rPr>
          <w:rFonts w:hint="eastAsia" w:ascii="楷体" w:hAnsi="楷体" w:eastAsia="楷体" w:cs="楷体"/>
          <w:bCs/>
          <w:color w:val="auto"/>
          <w:sz w:val="30"/>
          <w:szCs w:val="30"/>
        </w:rPr>
        <w:t>投标时须提供相应系统手机端移动服务功能详细说明和手机操作界面页面截图证明加盖投标人公章。</w:t>
      </w:r>
      <w:r>
        <w:rPr>
          <w:rFonts w:hint="eastAsia" w:ascii="楷体" w:hAnsi="楷体" w:eastAsia="楷体" w:cs="楷体"/>
          <w:color w:val="auto"/>
          <w:sz w:val="30"/>
          <w:szCs w:val="30"/>
          <w:lang w:val="zh-CN"/>
        </w:rPr>
        <w:t>】</w:t>
      </w:r>
    </w:p>
    <w:p w14:paraId="4466E5AA">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w:t>
      </w: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）所提供的IT运维管理系统需具有包括但不限于以下</w:t>
      </w:r>
      <w:r>
        <w:rPr>
          <w:rFonts w:hint="eastAsia" w:ascii="楷体" w:hAnsi="楷体" w:eastAsia="楷体" w:cs="楷体"/>
          <w:color w:val="auto"/>
          <w:sz w:val="30"/>
          <w:szCs w:val="30"/>
        </w:rPr>
        <w:t>子系统</w:t>
      </w:r>
      <w:r>
        <w:rPr>
          <w:rFonts w:hint="eastAsia" w:ascii="楷体" w:hAnsi="楷体" w:eastAsia="楷体" w:cs="楷体"/>
          <w:color w:val="auto"/>
          <w:sz w:val="30"/>
          <w:szCs w:val="30"/>
          <w:lang w:val="zh-CN"/>
        </w:rPr>
        <w:t>：IT运维服务系统、设备资产信息管理系统、人力资源信息管理系统、排班管理系统、考核信息管理系统、故障预警信息管理系统、数据库智能巡检系统、数据库性能管理系统、IT智能诊断系统等功能。【</w:t>
      </w:r>
      <w:r>
        <w:rPr>
          <w:rFonts w:hint="eastAsia" w:ascii="楷体" w:hAnsi="楷体" w:eastAsia="楷体" w:cs="楷体"/>
          <w:bCs/>
          <w:color w:val="auto"/>
          <w:sz w:val="30"/>
          <w:szCs w:val="30"/>
        </w:rPr>
        <w:t>如IT运维服务系统管理平台软件是投标人自有，投标时须提供以上相关内容的计算机软件著作权登记证书</w:t>
      </w:r>
      <w:r>
        <w:rPr>
          <w:rFonts w:hint="eastAsia" w:ascii="楷体" w:hAnsi="楷体" w:eastAsia="楷体" w:cs="楷体"/>
          <w:color w:val="auto"/>
          <w:sz w:val="30"/>
          <w:szCs w:val="30"/>
        </w:rPr>
        <w:t>（著作权人为投标人）</w:t>
      </w:r>
      <w:r>
        <w:rPr>
          <w:rFonts w:hint="eastAsia" w:ascii="楷体" w:hAnsi="楷体" w:eastAsia="楷体" w:cs="楷体"/>
          <w:bCs/>
          <w:color w:val="auto"/>
          <w:sz w:val="30"/>
          <w:szCs w:val="30"/>
        </w:rPr>
        <w:t>复印件加盖投标人公章；如IT运维服务系统管理平台软件是投标人租赁的，</w:t>
      </w:r>
      <w:r>
        <w:rPr>
          <w:rFonts w:hint="eastAsia" w:ascii="楷体" w:hAnsi="楷体" w:eastAsia="楷体" w:cs="楷体"/>
          <w:color w:val="auto"/>
          <w:sz w:val="30"/>
          <w:szCs w:val="30"/>
        </w:rPr>
        <w:t>需提供租赁合同及计算机软件著作权登记证书扫描件（著作权人为出租人）；</w:t>
      </w:r>
      <w:r>
        <w:rPr>
          <w:rFonts w:hint="eastAsia" w:ascii="楷体" w:hAnsi="楷体" w:eastAsia="楷体" w:cs="楷体"/>
          <w:bCs/>
          <w:color w:val="auto"/>
          <w:sz w:val="30"/>
          <w:szCs w:val="30"/>
        </w:rPr>
        <w:t>如IT运维服务系统管理平台软件是投标人购买的，</w:t>
      </w:r>
      <w:r>
        <w:rPr>
          <w:rFonts w:hint="eastAsia" w:ascii="楷体" w:hAnsi="楷体" w:eastAsia="楷体" w:cs="楷体"/>
          <w:color w:val="auto"/>
          <w:sz w:val="30"/>
          <w:szCs w:val="30"/>
        </w:rPr>
        <w:t>需提供购买合同及计算机软件著作权登记证书扫描件（著作权人为卖方）</w:t>
      </w:r>
      <w:r>
        <w:rPr>
          <w:rFonts w:hint="eastAsia" w:ascii="楷体" w:hAnsi="楷体" w:eastAsia="楷体" w:cs="楷体"/>
          <w:bCs/>
          <w:color w:val="auto"/>
          <w:sz w:val="30"/>
          <w:szCs w:val="30"/>
        </w:rPr>
        <w:t>，未按要求提供证明材料不得分。</w:t>
      </w:r>
      <w:r>
        <w:rPr>
          <w:rFonts w:hint="eastAsia" w:ascii="楷体" w:hAnsi="楷体" w:eastAsia="楷体" w:cs="楷体"/>
          <w:color w:val="auto"/>
          <w:sz w:val="30"/>
          <w:szCs w:val="30"/>
          <w:lang w:val="zh-CN"/>
        </w:rPr>
        <w:t>】</w:t>
      </w:r>
    </w:p>
    <w:p w14:paraId="3A8577DC">
      <w:pPr>
        <w:pStyle w:val="2"/>
        <w:ind w:firstLine="602"/>
        <w:rPr>
          <w:rFonts w:hint="eastAsia" w:ascii="楷体" w:hAnsi="楷体" w:eastAsia="楷体" w:cs="楷体"/>
          <w:color w:val="auto"/>
          <w:sz w:val="30"/>
          <w:szCs w:val="30"/>
        </w:rPr>
      </w:pPr>
      <w:r>
        <w:rPr>
          <w:rFonts w:hint="eastAsia" w:ascii="楷体" w:hAnsi="楷体" w:eastAsia="楷体" w:cs="楷体"/>
          <w:b/>
          <w:bCs/>
          <w:color w:val="auto"/>
          <w:sz w:val="30"/>
          <w:szCs w:val="30"/>
        </w:rPr>
        <w:t>4、</w:t>
      </w:r>
      <w:r>
        <w:rPr>
          <w:rFonts w:hint="eastAsia" w:ascii="楷体" w:hAnsi="楷体" w:eastAsia="楷体" w:cs="楷体"/>
          <w:color w:val="auto"/>
          <w:sz w:val="30"/>
          <w:szCs w:val="30"/>
        </w:rPr>
        <w:t>信息安全管理要求：投标人派驻服务团队必须具有较高信息安全意识，严格保守医院信息秘密，项目负责人和现场主管必须有相关国家信息安全水平培训（如NISP、CISP等）学习经历，定期培训服务团队，提高整体人员服务信息安全水平。</w:t>
      </w:r>
      <w:r>
        <w:rPr>
          <w:rFonts w:hint="eastAsia" w:ascii="楷体" w:hAnsi="楷体" w:eastAsia="楷体" w:cs="楷体"/>
          <w:b/>
          <w:bCs/>
          <w:color w:val="auto"/>
          <w:sz w:val="30"/>
          <w:szCs w:val="30"/>
          <w:lang w:val="zh-CN"/>
        </w:rPr>
        <w:t>（提供</w:t>
      </w:r>
      <w:r>
        <w:rPr>
          <w:rFonts w:hint="eastAsia" w:ascii="楷体" w:hAnsi="楷体" w:eastAsia="楷体" w:cs="楷体"/>
          <w:color w:val="auto"/>
          <w:sz w:val="30"/>
          <w:szCs w:val="30"/>
        </w:rPr>
        <w:t>项目负责人和现场主管参加</w:t>
      </w:r>
      <w:r>
        <w:rPr>
          <w:rFonts w:hint="eastAsia" w:ascii="楷体" w:hAnsi="楷体" w:eastAsia="楷体" w:cs="楷体"/>
          <w:b/>
          <w:bCs/>
          <w:color w:val="auto"/>
          <w:sz w:val="30"/>
          <w:szCs w:val="30"/>
          <w:lang w:val="zh-CN"/>
        </w:rPr>
        <w:t>相关</w:t>
      </w:r>
      <w:r>
        <w:rPr>
          <w:rFonts w:hint="eastAsia" w:ascii="楷体" w:hAnsi="楷体" w:eastAsia="楷体" w:cs="楷体"/>
          <w:b/>
          <w:bCs/>
          <w:color w:val="auto"/>
          <w:sz w:val="30"/>
          <w:szCs w:val="30"/>
        </w:rPr>
        <w:t>培训合格</w:t>
      </w:r>
      <w:r>
        <w:rPr>
          <w:rFonts w:hint="eastAsia" w:ascii="楷体" w:hAnsi="楷体" w:eastAsia="楷体" w:cs="楷体"/>
          <w:b/>
          <w:bCs/>
          <w:color w:val="auto"/>
          <w:sz w:val="30"/>
          <w:szCs w:val="30"/>
          <w:lang w:val="zh-CN"/>
        </w:rPr>
        <w:t>证书复印件或网站验证截图证明</w:t>
      </w:r>
      <w:r>
        <w:rPr>
          <w:rFonts w:hint="eastAsia" w:ascii="楷体" w:hAnsi="楷体" w:eastAsia="楷体" w:cs="楷体"/>
          <w:b/>
          <w:bCs/>
          <w:color w:val="auto"/>
          <w:sz w:val="30"/>
          <w:szCs w:val="30"/>
        </w:rPr>
        <w:t>或通过信息安全类考试的国家认可的相关证书如NISP、CISP、信息安全工程师证书</w:t>
      </w:r>
      <w:r>
        <w:rPr>
          <w:rFonts w:hint="eastAsia" w:ascii="楷体" w:hAnsi="楷体" w:eastAsia="楷体" w:cs="楷体"/>
          <w:b/>
          <w:bCs/>
          <w:color w:val="auto"/>
          <w:sz w:val="30"/>
          <w:szCs w:val="30"/>
          <w:lang w:val="zh-CN"/>
        </w:rPr>
        <w:t>）。</w:t>
      </w:r>
    </w:p>
    <w:p w14:paraId="2D54093E">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楷体" w:hAnsi="楷体" w:eastAsia="楷体" w:cs="楷体"/>
          <w:color w:val="auto"/>
          <w:sz w:val="30"/>
          <w:szCs w:val="30"/>
          <w:lang w:val="zh-CN"/>
        </w:rPr>
      </w:pP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质量管理体系认证证书要求：对计算机软硬件的运维服务具有严格的质量</w:t>
      </w:r>
      <w:r>
        <w:rPr>
          <w:rFonts w:hint="eastAsia" w:ascii="楷体" w:hAnsi="楷体" w:eastAsia="楷体" w:cs="楷体"/>
          <w:color w:val="auto"/>
          <w:sz w:val="30"/>
          <w:szCs w:val="30"/>
        </w:rPr>
        <w:t>管理</w:t>
      </w:r>
      <w:r>
        <w:rPr>
          <w:rFonts w:hint="eastAsia" w:ascii="楷体" w:hAnsi="楷体" w:eastAsia="楷体" w:cs="楷体"/>
          <w:color w:val="auto"/>
          <w:sz w:val="30"/>
          <w:szCs w:val="30"/>
          <w:lang w:val="zh-CN"/>
        </w:rPr>
        <w:t>体系，能对服务进行标准化、流程化操作管理。</w:t>
      </w:r>
    </w:p>
    <w:p w14:paraId="0BF34C98">
      <w:pPr>
        <w:pStyle w:val="2"/>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楷体" w:hAnsi="楷体" w:eastAsia="楷体" w:cs="楷体"/>
          <w:color w:val="auto"/>
          <w:sz w:val="30"/>
          <w:szCs w:val="30"/>
          <w:lang w:val="zh-CN"/>
        </w:rPr>
      </w:pPr>
      <w:r>
        <w:rPr>
          <w:rFonts w:hint="eastAsia" w:ascii="楷体" w:hAnsi="楷体" w:eastAsia="楷体" w:cs="楷体"/>
          <w:color w:val="auto"/>
          <w:sz w:val="30"/>
          <w:szCs w:val="30"/>
        </w:rPr>
        <w:t>6、</w:t>
      </w:r>
      <w:r>
        <w:rPr>
          <w:rFonts w:hint="eastAsia" w:ascii="楷体" w:hAnsi="楷体" w:eastAsia="楷体" w:cs="楷体"/>
          <w:color w:val="auto"/>
          <w:sz w:val="30"/>
          <w:szCs w:val="30"/>
          <w:lang w:val="zh-CN"/>
        </w:rPr>
        <w:t>人员变更要求</w:t>
      </w:r>
    </w:p>
    <w:p w14:paraId="0FCE181F">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楷体" w:hAnsi="楷体" w:eastAsia="楷体" w:cs="楷体"/>
          <w:color w:val="auto"/>
          <w:sz w:val="30"/>
          <w:szCs w:val="30"/>
        </w:rPr>
      </w:pPr>
      <w:r>
        <w:rPr>
          <w:rFonts w:hint="eastAsia" w:ascii="楷体" w:hAnsi="楷体" w:eastAsia="楷体" w:cs="楷体"/>
          <w:color w:val="auto"/>
          <w:sz w:val="30"/>
          <w:szCs w:val="30"/>
          <w:lang w:val="zh-CN"/>
        </w:rPr>
        <w:t>在合同期内，如因个人原因离职或其他原因需发生人员更换，投标人需告知采购人；必须保证至少一个月的工作交接时间，确保投标人派遣的接任驻场人员完全掌握服务内容后方可更换人选，其人员资质要求与启动时一致。</w:t>
      </w:r>
    </w:p>
    <w:p w14:paraId="708019E0">
      <w:pPr>
        <w:pStyle w:val="9"/>
        <w:numPr>
          <w:ilvl w:val="0"/>
          <w:numId w:val="0"/>
        </w:numPr>
        <w:tabs>
          <w:tab w:val="left" w:pos="540"/>
        </w:tabs>
        <w:snapToGrid w:val="0"/>
        <w:spacing w:line="360" w:lineRule="auto"/>
        <w:rPr>
          <w:rFonts w:hint="eastAsia" w:ascii="楷体" w:hAnsi="楷体" w:eastAsia="楷体" w:cs="楷体"/>
          <w:b/>
          <w:color w:val="auto"/>
          <w:sz w:val="30"/>
          <w:szCs w:val="30"/>
          <w:lang w:val="zh-CN"/>
        </w:rPr>
      </w:pPr>
      <w:r>
        <w:rPr>
          <w:rFonts w:hint="eastAsia" w:ascii="宋体" w:hAnsi="宋体" w:eastAsia="宋体" w:cs="Courier New"/>
          <w:b/>
          <w:color w:val="auto"/>
          <w:kern w:val="0"/>
          <w:sz w:val="30"/>
          <w:szCs w:val="30"/>
          <w:lang w:val="zh-CN" w:eastAsia="zh-CN" w:bidi="ar-SA"/>
        </w:rPr>
        <w:t>三、</w:t>
      </w:r>
      <w:r>
        <w:rPr>
          <w:rFonts w:hint="eastAsia" w:ascii="楷体" w:hAnsi="楷体" w:eastAsia="楷体" w:cs="楷体"/>
          <w:b/>
          <w:color w:val="auto"/>
          <w:sz w:val="30"/>
          <w:szCs w:val="30"/>
        </w:rPr>
        <w:t>考核要求及惩罚</w:t>
      </w:r>
      <w:r>
        <w:rPr>
          <w:rFonts w:hint="eastAsia" w:ascii="楷体" w:hAnsi="楷体" w:eastAsia="楷体" w:cs="楷体"/>
          <w:b/>
          <w:color w:val="auto"/>
          <w:sz w:val="30"/>
          <w:szCs w:val="30"/>
          <w:lang w:val="zh-CN"/>
        </w:rPr>
        <w:t>制度</w:t>
      </w:r>
    </w:p>
    <w:p w14:paraId="7D6DA48D">
      <w:pPr>
        <w:tabs>
          <w:tab w:val="left" w:pos="840"/>
        </w:tabs>
        <w:snapToGrid w:val="0"/>
        <w:spacing w:line="360" w:lineRule="auto"/>
        <w:rPr>
          <w:rFonts w:hint="eastAsia" w:ascii="楷体" w:hAnsi="楷体" w:eastAsia="楷体" w:cs="楷体"/>
          <w:b/>
          <w:bCs/>
          <w:color w:val="auto"/>
          <w:sz w:val="30"/>
          <w:szCs w:val="30"/>
        </w:rPr>
      </w:pPr>
      <w:r>
        <w:rPr>
          <w:rFonts w:hint="eastAsia" w:ascii="楷体" w:hAnsi="楷体" w:eastAsia="楷体" w:cs="楷体"/>
          <w:b/>
          <w:bCs/>
          <w:color w:val="auto"/>
          <w:sz w:val="30"/>
          <w:szCs w:val="30"/>
        </w:rPr>
        <w:t>（一）考核要求</w:t>
      </w:r>
    </w:p>
    <w:p w14:paraId="724EB0ED">
      <w:pPr>
        <w:tabs>
          <w:tab w:val="left" w:pos="8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1、中标人</w:t>
      </w:r>
      <w:r>
        <w:rPr>
          <w:rFonts w:hint="eastAsia" w:ascii="楷体" w:hAnsi="楷体" w:eastAsia="楷体" w:cs="楷体"/>
          <w:color w:val="auto"/>
          <w:sz w:val="30"/>
          <w:szCs w:val="30"/>
          <w:lang w:val="zh-CN"/>
        </w:rPr>
        <w:t>项目负责人负责对驻场人员的日常管理和综合考核，包括但不限于对员工的出勤、工作量、满意度、响应速度、服务态度、返修率、工作效率等一系列管理和考核，由中标人项目负责人负责每月对员工进行考评，结合医院智慧医院建设部的意见，及时兑现对员工绩效优、劣的奖罚，保证员工工作积极性，如发现服务不合要求的员工</w:t>
      </w:r>
      <w:r>
        <w:rPr>
          <w:rFonts w:hint="eastAsia" w:ascii="楷体" w:hAnsi="楷体" w:eastAsia="楷体" w:cs="楷体"/>
          <w:color w:val="auto"/>
          <w:sz w:val="30"/>
          <w:szCs w:val="30"/>
        </w:rPr>
        <w:t>应</w:t>
      </w:r>
      <w:r>
        <w:rPr>
          <w:rFonts w:hint="eastAsia" w:ascii="楷体" w:hAnsi="楷体" w:eastAsia="楷体" w:cs="楷体"/>
          <w:color w:val="auto"/>
          <w:sz w:val="30"/>
          <w:szCs w:val="30"/>
          <w:lang w:val="zh-CN"/>
        </w:rPr>
        <w:t>进行适当处理（如批评教育、培训、更换或淘汰等）。若中标人某一技术人员的技术能力和服务态度被书面投诉3次</w:t>
      </w:r>
      <w:r>
        <w:rPr>
          <w:rFonts w:hint="eastAsia" w:ascii="楷体" w:hAnsi="楷体" w:eastAsia="楷体" w:cs="楷体"/>
          <w:color w:val="auto"/>
          <w:sz w:val="30"/>
          <w:szCs w:val="30"/>
        </w:rPr>
        <w:t>及</w:t>
      </w:r>
      <w:r>
        <w:rPr>
          <w:rFonts w:hint="eastAsia" w:ascii="楷体" w:hAnsi="楷体" w:eastAsia="楷体" w:cs="楷体"/>
          <w:color w:val="auto"/>
          <w:sz w:val="30"/>
          <w:szCs w:val="30"/>
          <w:lang w:val="zh-CN"/>
        </w:rPr>
        <w:t>以上，经采购人和投标人共同查实后，投标人必须作出妥善解决措施，如未能及时采取有效措施消除影响的，中标人应予更换合格的技术人员。</w:t>
      </w:r>
    </w:p>
    <w:p w14:paraId="4FE6701A">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rPr>
        <w:t>2、</w:t>
      </w:r>
      <w:r>
        <w:rPr>
          <w:rFonts w:hint="eastAsia" w:ascii="楷体" w:hAnsi="楷体" w:eastAsia="楷体" w:cs="楷体"/>
          <w:color w:val="auto"/>
          <w:sz w:val="30"/>
          <w:szCs w:val="30"/>
          <w:lang w:val="zh-CN"/>
        </w:rPr>
        <w:t>在每季度服务结束后10个工作日内，中标人需向采购人提交季度度总结报告，并组织进行用户满意度评估，对中标人季度度服务质量进行包括但不限于随机抽查科室服务满意度调查等考核，考核内容分五大项评价为：服务态度、技能水平、解决效率、整体评价，每大项评价分4小项评分为：很满意、满意、尚可和不满意，综合考核满意百分比率大于等于85%为合格（考核合格满意度指所有调查表评测项为“满意”或者“很满意”之和百分比率大于等于85%为验收合格）。对于不合格的季度度满意度考核，</w:t>
      </w:r>
      <w:r>
        <w:rPr>
          <w:rFonts w:hint="eastAsia" w:ascii="楷体" w:hAnsi="楷体" w:eastAsia="楷体" w:cs="楷体"/>
          <w:color w:val="auto"/>
          <w:sz w:val="30"/>
          <w:szCs w:val="30"/>
        </w:rPr>
        <w:t>扣罚</w:t>
      </w:r>
      <w:r>
        <w:rPr>
          <w:rFonts w:hint="eastAsia" w:ascii="楷体" w:hAnsi="楷体" w:eastAsia="楷体" w:cs="楷体"/>
          <w:color w:val="auto"/>
          <w:sz w:val="30"/>
          <w:szCs w:val="30"/>
          <w:lang w:val="zh-CN"/>
        </w:rPr>
        <w:t>该季度度维保应付总额的5%。</w:t>
      </w:r>
    </w:p>
    <w:p w14:paraId="566786F6">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以下是服务质量季度度考核表，包括《电脑服务季度度满意度调查总结表》和《电脑服务季度度用户满意度调查明细表》。 《电脑服务季度度用户满意度调查表》从正面评价中标方的服务质量，满分为100分，85分以上评价为合格。</w:t>
      </w:r>
    </w:p>
    <w:p w14:paraId="5CB16C53">
      <w:pPr>
        <w:spacing w:line="360" w:lineRule="auto"/>
        <w:ind w:firstLine="600" w:firstLineChars="20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电脑服务季度度用户满意度调查总结表</w:t>
      </w:r>
    </w:p>
    <w:tbl>
      <w:tblPr>
        <w:tblStyle w:val="18"/>
        <w:tblW w:w="792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44"/>
        <w:gridCol w:w="1183"/>
        <w:gridCol w:w="900"/>
        <w:gridCol w:w="850"/>
        <w:gridCol w:w="1283"/>
        <w:gridCol w:w="1360"/>
        <w:gridCol w:w="1500"/>
      </w:tblGrid>
      <w:tr w14:paraId="10E267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44" w:type="dxa"/>
            <w:vMerge w:val="restart"/>
            <w:tcBorders>
              <w:top w:val="single" w:color="auto" w:sz="6" w:space="0"/>
              <w:left w:val="single" w:color="auto" w:sz="6" w:space="0"/>
              <w:bottom w:val="single" w:color="auto" w:sz="6" w:space="0"/>
              <w:right w:val="single" w:color="auto" w:sz="6" w:space="0"/>
            </w:tcBorders>
            <w:vAlign w:val="center"/>
          </w:tcPr>
          <w:p w14:paraId="1D9587A4">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序号</w:t>
            </w:r>
          </w:p>
        </w:tc>
        <w:tc>
          <w:tcPr>
            <w:tcW w:w="4216" w:type="dxa"/>
            <w:gridSpan w:val="4"/>
            <w:tcBorders>
              <w:top w:val="single" w:color="auto" w:sz="6" w:space="0"/>
              <w:left w:val="single" w:color="auto" w:sz="6" w:space="0"/>
              <w:bottom w:val="single" w:color="auto" w:sz="6" w:space="0"/>
              <w:right w:val="single" w:color="auto" w:sz="6" w:space="0"/>
            </w:tcBorders>
            <w:vAlign w:val="center"/>
          </w:tcPr>
          <w:p w14:paraId="0C81701B">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评价结果</w:t>
            </w:r>
          </w:p>
        </w:tc>
        <w:tc>
          <w:tcPr>
            <w:tcW w:w="1360" w:type="dxa"/>
            <w:vMerge w:val="restart"/>
            <w:tcBorders>
              <w:top w:val="single" w:color="auto" w:sz="6" w:space="0"/>
              <w:left w:val="single" w:color="auto" w:sz="6" w:space="0"/>
              <w:bottom w:val="single" w:color="auto" w:sz="6" w:space="0"/>
              <w:right w:val="single" w:color="auto" w:sz="6" w:space="0"/>
            </w:tcBorders>
            <w:vAlign w:val="center"/>
          </w:tcPr>
          <w:p w14:paraId="5CB660E6">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满意度</w:t>
            </w:r>
          </w:p>
        </w:tc>
        <w:tc>
          <w:tcPr>
            <w:tcW w:w="1500" w:type="dxa"/>
            <w:vMerge w:val="restart"/>
            <w:tcBorders>
              <w:top w:val="single" w:color="auto" w:sz="6" w:space="0"/>
              <w:left w:val="single" w:color="auto" w:sz="6" w:space="0"/>
              <w:bottom w:val="single" w:color="auto" w:sz="6" w:space="0"/>
              <w:right w:val="single" w:color="auto" w:sz="6" w:space="0"/>
            </w:tcBorders>
            <w:vAlign w:val="center"/>
          </w:tcPr>
          <w:p w14:paraId="5BB02E05">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备注</w:t>
            </w:r>
          </w:p>
        </w:tc>
      </w:tr>
      <w:tr w14:paraId="6AEE79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44" w:type="dxa"/>
            <w:vMerge w:val="continue"/>
            <w:tcBorders>
              <w:top w:val="single" w:color="auto" w:sz="6" w:space="0"/>
              <w:left w:val="single" w:color="auto" w:sz="6" w:space="0"/>
              <w:bottom w:val="single" w:color="auto" w:sz="6" w:space="0"/>
              <w:right w:val="single" w:color="auto" w:sz="6" w:space="0"/>
            </w:tcBorders>
            <w:vAlign w:val="center"/>
          </w:tcPr>
          <w:p w14:paraId="589D4918">
            <w:pPr>
              <w:widowControl/>
              <w:jc w:val="left"/>
              <w:rPr>
                <w:rFonts w:hint="eastAsia" w:ascii="楷体" w:hAnsi="楷体" w:eastAsia="楷体" w:cs="楷体"/>
                <w:color w:val="auto"/>
                <w:sz w:val="30"/>
                <w:szCs w:val="30"/>
                <w:lang w:val="zh-CN"/>
              </w:rPr>
            </w:pPr>
          </w:p>
        </w:tc>
        <w:tc>
          <w:tcPr>
            <w:tcW w:w="1183" w:type="dxa"/>
            <w:tcBorders>
              <w:top w:val="single" w:color="auto" w:sz="6" w:space="0"/>
              <w:left w:val="single" w:color="auto" w:sz="6" w:space="0"/>
              <w:bottom w:val="single" w:color="auto" w:sz="6" w:space="0"/>
              <w:right w:val="single" w:color="auto" w:sz="6" w:space="0"/>
            </w:tcBorders>
            <w:vAlign w:val="center"/>
          </w:tcPr>
          <w:p w14:paraId="250A0173">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很满意</w:t>
            </w:r>
          </w:p>
        </w:tc>
        <w:tc>
          <w:tcPr>
            <w:tcW w:w="900" w:type="dxa"/>
            <w:tcBorders>
              <w:top w:val="single" w:color="auto" w:sz="6" w:space="0"/>
              <w:left w:val="single" w:color="auto" w:sz="6" w:space="0"/>
              <w:bottom w:val="single" w:color="auto" w:sz="6" w:space="0"/>
              <w:right w:val="single" w:color="auto" w:sz="6" w:space="0"/>
            </w:tcBorders>
            <w:vAlign w:val="center"/>
          </w:tcPr>
          <w:p w14:paraId="0BE6698E">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满意</w:t>
            </w:r>
          </w:p>
        </w:tc>
        <w:tc>
          <w:tcPr>
            <w:tcW w:w="850" w:type="dxa"/>
            <w:tcBorders>
              <w:top w:val="single" w:color="auto" w:sz="6" w:space="0"/>
              <w:left w:val="single" w:color="auto" w:sz="6" w:space="0"/>
              <w:bottom w:val="single" w:color="auto" w:sz="6" w:space="0"/>
              <w:right w:val="single" w:color="auto" w:sz="6" w:space="0"/>
            </w:tcBorders>
            <w:vAlign w:val="center"/>
          </w:tcPr>
          <w:p w14:paraId="216C18B9">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尚可</w:t>
            </w:r>
          </w:p>
        </w:tc>
        <w:tc>
          <w:tcPr>
            <w:tcW w:w="1283" w:type="dxa"/>
            <w:tcBorders>
              <w:top w:val="single" w:color="auto" w:sz="6" w:space="0"/>
              <w:left w:val="single" w:color="auto" w:sz="6" w:space="0"/>
              <w:bottom w:val="single" w:color="auto" w:sz="6" w:space="0"/>
              <w:right w:val="single" w:color="auto" w:sz="6" w:space="0"/>
            </w:tcBorders>
            <w:vAlign w:val="center"/>
          </w:tcPr>
          <w:p w14:paraId="4AFD2428">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不满意</w:t>
            </w:r>
          </w:p>
        </w:tc>
        <w:tc>
          <w:tcPr>
            <w:tcW w:w="1360" w:type="dxa"/>
            <w:vMerge w:val="continue"/>
            <w:tcBorders>
              <w:top w:val="single" w:color="auto" w:sz="6" w:space="0"/>
              <w:left w:val="single" w:color="auto" w:sz="6" w:space="0"/>
              <w:bottom w:val="single" w:color="auto" w:sz="6" w:space="0"/>
              <w:right w:val="single" w:color="auto" w:sz="6" w:space="0"/>
            </w:tcBorders>
            <w:vAlign w:val="center"/>
          </w:tcPr>
          <w:p w14:paraId="6C610026">
            <w:pPr>
              <w:widowControl/>
              <w:jc w:val="left"/>
              <w:rPr>
                <w:rFonts w:hint="eastAsia" w:ascii="楷体" w:hAnsi="楷体" w:eastAsia="楷体" w:cs="楷体"/>
                <w:color w:val="auto"/>
                <w:sz w:val="30"/>
                <w:szCs w:val="30"/>
                <w:lang w:val="zh-CN"/>
              </w:rPr>
            </w:pPr>
          </w:p>
        </w:tc>
        <w:tc>
          <w:tcPr>
            <w:tcW w:w="1500" w:type="dxa"/>
            <w:vMerge w:val="continue"/>
            <w:tcBorders>
              <w:top w:val="single" w:color="auto" w:sz="6" w:space="0"/>
              <w:left w:val="single" w:color="auto" w:sz="6" w:space="0"/>
              <w:bottom w:val="single" w:color="auto" w:sz="6" w:space="0"/>
              <w:right w:val="single" w:color="auto" w:sz="6" w:space="0"/>
            </w:tcBorders>
            <w:vAlign w:val="center"/>
          </w:tcPr>
          <w:p w14:paraId="604FA80A">
            <w:pPr>
              <w:widowControl/>
              <w:jc w:val="left"/>
              <w:rPr>
                <w:rFonts w:hint="eastAsia" w:ascii="楷体" w:hAnsi="楷体" w:eastAsia="楷体" w:cs="楷体"/>
                <w:color w:val="auto"/>
                <w:sz w:val="30"/>
                <w:szCs w:val="30"/>
                <w:lang w:val="zh-CN"/>
              </w:rPr>
            </w:pPr>
          </w:p>
        </w:tc>
      </w:tr>
      <w:tr w14:paraId="33432F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44" w:type="dxa"/>
            <w:tcBorders>
              <w:top w:val="single" w:color="auto" w:sz="6" w:space="0"/>
              <w:left w:val="single" w:color="auto" w:sz="6" w:space="0"/>
              <w:bottom w:val="single" w:color="auto" w:sz="6" w:space="0"/>
              <w:right w:val="single" w:color="auto" w:sz="6" w:space="0"/>
            </w:tcBorders>
            <w:vAlign w:val="center"/>
          </w:tcPr>
          <w:p w14:paraId="59C186BA">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w:t>
            </w:r>
          </w:p>
        </w:tc>
        <w:tc>
          <w:tcPr>
            <w:tcW w:w="1183" w:type="dxa"/>
            <w:tcBorders>
              <w:top w:val="single" w:color="auto" w:sz="6" w:space="0"/>
              <w:left w:val="single" w:color="auto" w:sz="6" w:space="0"/>
              <w:bottom w:val="single" w:color="auto" w:sz="6" w:space="0"/>
              <w:right w:val="single" w:color="auto" w:sz="6" w:space="0"/>
            </w:tcBorders>
            <w:vAlign w:val="center"/>
          </w:tcPr>
          <w:p w14:paraId="705A6E9A">
            <w:pPr>
              <w:spacing w:line="360" w:lineRule="auto"/>
              <w:jc w:val="center"/>
              <w:rPr>
                <w:rFonts w:hint="eastAsia" w:ascii="楷体" w:hAnsi="楷体" w:eastAsia="楷体" w:cs="楷体"/>
                <w:color w:val="auto"/>
                <w:sz w:val="30"/>
                <w:szCs w:val="30"/>
                <w:lang w:val="zh-CN"/>
              </w:rPr>
            </w:pPr>
          </w:p>
        </w:tc>
        <w:tc>
          <w:tcPr>
            <w:tcW w:w="900" w:type="dxa"/>
            <w:tcBorders>
              <w:top w:val="single" w:color="auto" w:sz="6" w:space="0"/>
              <w:left w:val="single" w:color="auto" w:sz="6" w:space="0"/>
              <w:bottom w:val="single" w:color="auto" w:sz="6" w:space="0"/>
              <w:right w:val="single" w:color="auto" w:sz="6" w:space="0"/>
            </w:tcBorders>
            <w:vAlign w:val="center"/>
          </w:tcPr>
          <w:p w14:paraId="5851EC66">
            <w:pPr>
              <w:spacing w:line="360" w:lineRule="auto"/>
              <w:jc w:val="center"/>
              <w:rPr>
                <w:rFonts w:hint="eastAsia" w:ascii="楷体" w:hAnsi="楷体" w:eastAsia="楷体" w:cs="楷体"/>
                <w:color w:val="auto"/>
                <w:sz w:val="30"/>
                <w:szCs w:val="30"/>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14:paraId="59E6F8F8">
            <w:pPr>
              <w:spacing w:line="360" w:lineRule="auto"/>
              <w:jc w:val="center"/>
              <w:rPr>
                <w:rFonts w:hint="eastAsia" w:ascii="楷体" w:hAnsi="楷体" w:eastAsia="楷体" w:cs="楷体"/>
                <w:color w:val="auto"/>
                <w:sz w:val="30"/>
                <w:szCs w:val="30"/>
                <w:lang w:val="zh-CN"/>
              </w:rPr>
            </w:pPr>
          </w:p>
        </w:tc>
        <w:tc>
          <w:tcPr>
            <w:tcW w:w="1283" w:type="dxa"/>
            <w:tcBorders>
              <w:top w:val="single" w:color="auto" w:sz="6" w:space="0"/>
              <w:left w:val="single" w:color="auto" w:sz="6" w:space="0"/>
              <w:bottom w:val="single" w:color="auto" w:sz="6" w:space="0"/>
              <w:right w:val="single" w:color="auto" w:sz="6" w:space="0"/>
            </w:tcBorders>
            <w:vAlign w:val="center"/>
          </w:tcPr>
          <w:p w14:paraId="0CEA1BDC">
            <w:pPr>
              <w:spacing w:line="360" w:lineRule="auto"/>
              <w:jc w:val="center"/>
              <w:rPr>
                <w:rFonts w:hint="eastAsia" w:ascii="楷体" w:hAnsi="楷体" w:eastAsia="楷体" w:cs="楷体"/>
                <w:color w:val="auto"/>
                <w:sz w:val="30"/>
                <w:szCs w:val="30"/>
                <w:lang w:val="zh-CN"/>
              </w:rPr>
            </w:pPr>
          </w:p>
        </w:tc>
        <w:tc>
          <w:tcPr>
            <w:tcW w:w="1360" w:type="dxa"/>
            <w:tcBorders>
              <w:top w:val="single" w:color="auto" w:sz="6" w:space="0"/>
              <w:left w:val="single" w:color="auto" w:sz="6" w:space="0"/>
              <w:bottom w:val="single" w:color="auto" w:sz="6" w:space="0"/>
              <w:right w:val="single" w:color="auto" w:sz="6" w:space="0"/>
            </w:tcBorders>
            <w:vAlign w:val="center"/>
          </w:tcPr>
          <w:p w14:paraId="0C3B91A1">
            <w:pPr>
              <w:spacing w:line="360" w:lineRule="auto"/>
              <w:jc w:val="center"/>
              <w:rPr>
                <w:rFonts w:hint="eastAsia" w:ascii="楷体" w:hAnsi="楷体" w:eastAsia="楷体" w:cs="楷体"/>
                <w:color w:val="auto"/>
                <w:sz w:val="30"/>
                <w:szCs w:val="30"/>
                <w:lang w:val="zh-CN"/>
              </w:rPr>
            </w:pPr>
          </w:p>
        </w:tc>
        <w:tc>
          <w:tcPr>
            <w:tcW w:w="1500" w:type="dxa"/>
            <w:vMerge w:val="restart"/>
            <w:tcBorders>
              <w:top w:val="single" w:color="auto" w:sz="6" w:space="0"/>
              <w:left w:val="single" w:color="auto" w:sz="6" w:space="0"/>
              <w:bottom w:val="single" w:color="auto" w:sz="6" w:space="0"/>
              <w:right w:val="single" w:color="auto" w:sz="6" w:space="0"/>
            </w:tcBorders>
            <w:vAlign w:val="center"/>
          </w:tcPr>
          <w:p w14:paraId="644E84A2">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本表为随机抽查医院电脑使用科室的调查结果</w:t>
            </w:r>
          </w:p>
        </w:tc>
      </w:tr>
      <w:tr w14:paraId="64F518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844" w:type="dxa"/>
            <w:tcBorders>
              <w:top w:val="single" w:color="auto" w:sz="6" w:space="0"/>
              <w:left w:val="single" w:color="auto" w:sz="6" w:space="0"/>
              <w:bottom w:val="single" w:color="auto" w:sz="6" w:space="0"/>
              <w:right w:val="single" w:color="auto" w:sz="6" w:space="0"/>
            </w:tcBorders>
            <w:vAlign w:val="center"/>
          </w:tcPr>
          <w:p w14:paraId="33716E73">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w:t>
            </w:r>
          </w:p>
        </w:tc>
        <w:tc>
          <w:tcPr>
            <w:tcW w:w="1183" w:type="dxa"/>
            <w:tcBorders>
              <w:top w:val="single" w:color="auto" w:sz="6" w:space="0"/>
              <w:left w:val="single" w:color="auto" w:sz="6" w:space="0"/>
              <w:bottom w:val="single" w:color="auto" w:sz="6" w:space="0"/>
              <w:right w:val="single" w:color="auto" w:sz="6" w:space="0"/>
            </w:tcBorders>
            <w:vAlign w:val="center"/>
          </w:tcPr>
          <w:p w14:paraId="21A7125D">
            <w:pPr>
              <w:spacing w:line="360" w:lineRule="auto"/>
              <w:jc w:val="center"/>
              <w:rPr>
                <w:rFonts w:hint="eastAsia" w:ascii="楷体" w:hAnsi="楷体" w:eastAsia="楷体" w:cs="楷体"/>
                <w:color w:val="auto"/>
                <w:sz w:val="30"/>
                <w:szCs w:val="30"/>
                <w:lang w:val="zh-CN"/>
              </w:rPr>
            </w:pPr>
          </w:p>
        </w:tc>
        <w:tc>
          <w:tcPr>
            <w:tcW w:w="900" w:type="dxa"/>
            <w:tcBorders>
              <w:top w:val="single" w:color="auto" w:sz="6" w:space="0"/>
              <w:left w:val="single" w:color="auto" w:sz="6" w:space="0"/>
              <w:bottom w:val="single" w:color="auto" w:sz="6" w:space="0"/>
              <w:right w:val="single" w:color="auto" w:sz="6" w:space="0"/>
            </w:tcBorders>
            <w:vAlign w:val="center"/>
          </w:tcPr>
          <w:p w14:paraId="2178326F">
            <w:pPr>
              <w:spacing w:line="360" w:lineRule="auto"/>
              <w:jc w:val="center"/>
              <w:rPr>
                <w:rFonts w:hint="eastAsia" w:ascii="楷体" w:hAnsi="楷体" w:eastAsia="楷体" w:cs="楷体"/>
                <w:color w:val="auto"/>
                <w:sz w:val="30"/>
                <w:szCs w:val="30"/>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14:paraId="1B338C17">
            <w:pPr>
              <w:spacing w:line="360" w:lineRule="auto"/>
              <w:jc w:val="center"/>
              <w:rPr>
                <w:rFonts w:hint="eastAsia" w:ascii="楷体" w:hAnsi="楷体" w:eastAsia="楷体" w:cs="楷体"/>
                <w:color w:val="auto"/>
                <w:sz w:val="30"/>
                <w:szCs w:val="30"/>
                <w:lang w:val="zh-CN"/>
              </w:rPr>
            </w:pPr>
          </w:p>
        </w:tc>
        <w:tc>
          <w:tcPr>
            <w:tcW w:w="1283" w:type="dxa"/>
            <w:tcBorders>
              <w:top w:val="single" w:color="auto" w:sz="6" w:space="0"/>
              <w:left w:val="single" w:color="auto" w:sz="6" w:space="0"/>
              <w:bottom w:val="single" w:color="auto" w:sz="6" w:space="0"/>
              <w:right w:val="single" w:color="auto" w:sz="6" w:space="0"/>
            </w:tcBorders>
            <w:vAlign w:val="center"/>
          </w:tcPr>
          <w:p w14:paraId="239217F0">
            <w:pPr>
              <w:spacing w:line="360" w:lineRule="auto"/>
              <w:jc w:val="center"/>
              <w:rPr>
                <w:rFonts w:hint="eastAsia" w:ascii="楷体" w:hAnsi="楷体" w:eastAsia="楷体" w:cs="楷体"/>
                <w:color w:val="auto"/>
                <w:sz w:val="30"/>
                <w:szCs w:val="30"/>
                <w:lang w:val="zh-CN"/>
              </w:rPr>
            </w:pPr>
          </w:p>
        </w:tc>
        <w:tc>
          <w:tcPr>
            <w:tcW w:w="1360" w:type="dxa"/>
            <w:tcBorders>
              <w:top w:val="single" w:color="auto" w:sz="6" w:space="0"/>
              <w:left w:val="single" w:color="auto" w:sz="6" w:space="0"/>
              <w:bottom w:val="single" w:color="auto" w:sz="6" w:space="0"/>
              <w:right w:val="single" w:color="auto" w:sz="6" w:space="0"/>
            </w:tcBorders>
            <w:vAlign w:val="center"/>
          </w:tcPr>
          <w:p w14:paraId="36AD13E7">
            <w:pPr>
              <w:spacing w:line="360" w:lineRule="auto"/>
              <w:jc w:val="center"/>
              <w:rPr>
                <w:rFonts w:hint="eastAsia" w:ascii="楷体" w:hAnsi="楷体" w:eastAsia="楷体" w:cs="楷体"/>
                <w:color w:val="auto"/>
                <w:sz w:val="30"/>
                <w:szCs w:val="30"/>
                <w:lang w:val="zh-CN"/>
              </w:rPr>
            </w:pPr>
          </w:p>
        </w:tc>
        <w:tc>
          <w:tcPr>
            <w:tcW w:w="1500" w:type="dxa"/>
            <w:vMerge w:val="continue"/>
            <w:tcBorders>
              <w:top w:val="single" w:color="auto" w:sz="6" w:space="0"/>
              <w:left w:val="single" w:color="auto" w:sz="6" w:space="0"/>
              <w:bottom w:val="single" w:color="auto" w:sz="6" w:space="0"/>
              <w:right w:val="single" w:color="auto" w:sz="6" w:space="0"/>
            </w:tcBorders>
            <w:vAlign w:val="center"/>
          </w:tcPr>
          <w:p w14:paraId="28E143DC">
            <w:pPr>
              <w:widowControl/>
              <w:jc w:val="left"/>
              <w:rPr>
                <w:rFonts w:hint="eastAsia" w:ascii="楷体" w:hAnsi="楷体" w:eastAsia="楷体" w:cs="楷体"/>
                <w:color w:val="auto"/>
                <w:sz w:val="30"/>
                <w:szCs w:val="30"/>
                <w:lang w:val="zh-CN"/>
              </w:rPr>
            </w:pPr>
          </w:p>
        </w:tc>
      </w:tr>
      <w:tr w14:paraId="0109EA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44" w:type="dxa"/>
            <w:tcBorders>
              <w:top w:val="single" w:color="auto" w:sz="6" w:space="0"/>
              <w:left w:val="single" w:color="auto" w:sz="6" w:space="0"/>
              <w:bottom w:val="single" w:color="auto" w:sz="6" w:space="0"/>
              <w:right w:val="single" w:color="auto" w:sz="6" w:space="0"/>
            </w:tcBorders>
            <w:vAlign w:val="center"/>
          </w:tcPr>
          <w:p w14:paraId="29BCAE73">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w:t>
            </w:r>
          </w:p>
        </w:tc>
        <w:tc>
          <w:tcPr>
            <w:tcW w:w="1183" w:type="dxa"/>
            <w:tcBorders>
              <w:top w:val="single" w:color="auto" w:sz="6" w:space="0"/>
              <w:left w:val="single" w:color="auto" w:sz="6" w:space="0"/>
              <w:bottom w:val="single" w:color="auto" w:sz="6" w:space="0"/>
              <w:right w:val="single" w:color="auto" w:sz="6" w:space="0"/>
            </w:tcBorders>
            <w:vAlign w:val="center"/>
          </w:tcPr>
          <w:p w14:paraId="467D2C99">
            <w:pPr>
              <w:spacing w:line="360" w:lineRule="auto"/>
              <w:jc w:val="center"/>
              <w:rPr>
                <w:rFonts w:hint="eastAsia" w:ascii="楷体" w:hAnsi="楷体" w:eastAsia="楷体" w:cs="楷体"/>
                <w:color w:val="auto"/>
                <w:sz w:val="30"/>
                <w:szCs w:val="30"/>
                <w:lang w:val="zh-CN"/>
              </w:rPr>
            </w:pPr>
          </w:p>
        </w:tc>
        <w:tc>
          <w:tcPr>
            <w:tcW w:w="900" w:type="dxa"/>
            <w:tcBorders>
              <w:top w:val="single" w:color="auto" w:sz="6" w:space="0"/>
              <w:left w:val="single" w:color="auto" w:sz="6" w:space="0"/>
              <w:bottom w:val="single" w:color="auto" w:sz="6" w:space="0"/>
              <w:right w:val="single" w:color="auto" w:sz="6" w:space="0"/>
            </w:tcBorders>
            <w:vAlign w:val="center"/>
          </w:tcPr>
          <w:p w14:paraId="4B24B39C">
            <w:pPr>
              <w:spacing w:line="360" w:lineRule="auto"/>
              <w:jc w:val="center"/>
              <w:rPr>
                <w:rFonts w:hint="eastAsia" w:ascii="楷体" w:hAnsi="楷体" w:eastAsia="楷体" w:cs="楷体"/>
                <w:color w:val="auto"/>
                <w:sz w:val="30"/>
                <w:szCs w:val="30"/>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14:paraId="5A0B5331">
            <w:pPr>
              <w:spacing w:line="360" w:lineRule="auto"/>
              <w:jc w:val="center"/>
              <w:rPr>
                <w:rFonts w:hint="eastAsia" w:ascii="楷体" w:hAnsi="楷体" w:eastAsia="楷体" w:cs="楷体"/>
                <w:color w:val="auto"/>
                <w:sz w:val="30"/>
                <w:szCs w:val="30"/>
                <w:lang w:val="zh-CN"/>
              </w:rPr>
            </w:pPr>
          </w:p>
        </w:tc>
        <w:tc>
          <w:tcPr>
            <w:tcW w:w="1283" w:type="dxa"/>
            <w:tcBorders>
              <w:top w:val="single" w:color="auto" w:sz="6" w:space="0"/>
              <w:left w:val="single" w:color="auto" w:sz="6" w:space="0"/>
              <w:bottom w:val="single" w:color="auto" w:sz="6" w:space="0"/>
              <w:right w:val="single" w:color="auto" w:sz="6" w:space="0"/>
            </w:tcBorders>
            <w:vAlign w:val="center"/>
          </w:tcPr>
          <w:p w14:paraId="7F8371BD">
            <w:pPr>
              <w:spacing w:line="360" w:lineRule="auto"/>
              <w:jc w:val="center"/>
              <w:rPr>
                <w:rFonts w:hint="eastAsia" w:ascii="楷体" w:hAnsi="楷体" w:eastAsia="楷体" w:cs="楷体"/>
                <w:color w:val="auto"/>
                <w:sz w:val="30"/>
                <w:szCs w:val="30"/>
                <w:lang w:val="zh-CN"/>
              </w:rPr>
            </w:pPr>
          </w:p>
        </w:tc>
        <w:tc>
          <w:tcPr>
            <w:tcW w:w="1360" w:type="dxa"/>
            <w:tcBorders>
              <w:top w:val="single" w:color="auto" w:sz="6" w:space="0"/>
              <w:left w:val="single" w:color="auto" w:sz="6" w:space="0"/>
              <w:bottom w:val="single" w:color="auto" w:sz="6" w:space="0"/>
              <w:right w:val="single" w:color="auto" w:sz="6" w:space="0"/>
            </w:tcBorders>
            <w:vAlign w:val="center"/>
          </w:tcPr>
          <w:p w14:paraId="70AF51EC">
            <w:pPr>
              <w:spacing w:line="360" w:lineRule="auto"/>
              <w:jc w:val="center"/>
              <w:rPr>
                <w:rFonts w:hint="eastAsia" w:ascii="楷体" w:hAnsi="楷体" w:eastAsia="楷体" w:cs="楷体"/>
                <w:color w:val="auto"/>
                <w:sz w:val="30"/>
                <w:szCs w:val="30"/>
                <w:lang w:val="zh-CN"/>
              </w:rPr>
            </w:pPr>
          </w:p>
        </w:tc>
        <w:tc>
          <w:tcPr>
            <w:tcW w:w="1500" w:type="dxa"/>
            <w:vMerge w:val="continue"/>
            <w:tcBorders>
              <w:top w:val="single" w:color="auto" w:sz="6" w:space="0"/>
              <w:left w:val="single" w:color="auto" w:sz="6" w:space="0"/>
              <w:bottom w:val="single" w:color="auto" w:sz="6" w:space="0"/>
              <w:right w:val="single" w:color="auto" w:sz="6" w:space="0"/>
            </w:tcBorders>
            <w:vAlign w:val="center"/>
          </w:tcPr>
          <w:p w14:paraId="10E6CB17">
            <w:pPr>
              <w:widowControl/>
              <w:jc w:val="left"/>
              <w:rPr>
                <w:rFonts w:hint="eastAsia" w:ascii="楷体" w:hAnsi="楷体" w:eastAsia="楷体" w:cs="楷体"/>
                <w:color w:val="auto"/>
                <w:sz w:val="30"/>
                <w:szCs w:val="30"/>
                <w:lang w:val="zh-CN"/>
              </w:rPr>
            </w:pPr>
          </w:p>
        </w:tc>
      </w:tr>
      <w:tr w14:paraId="103DC4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44" w:type="dxa"/>
            <w:tcBorders>
              <w:top w:val="single" w:color="auto" w:sz="6" w:space="0"/>
              <w:left w:val="single" w:color="auto" w:sz="6" w:space="0"/>
              <w:bottom w:val="single" w:color="auto" w:sz="6" w:space="0"/>
              <w:right w:val="single" w:color="auto" w:sz="6" w:space="0"/>
            </w:tcBorders>
            <w:vAlign w:val="center"/>
          </w:tcPr>
          <w:p w14:paraId="747CC6F6">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4</w:t>
            </w:r>
          </w:p>
        </w:tc>
        <w:tc>
          <w:tcPr>
            <w:tcW w:w="1183" w:type="dxa"/>
            <w:tcBorders>
              <w:top w:val="single" w:color="auto" w:sz="6" w:space="0"/>
              <w:left w:val="single" w:color="auto" w:sz="6" w:space="0"/>
              <w:bottom w:val="single" w:color="auto" w:sz="6" w:space="0"/>
              <w:right w:val="single" w:color="auto" w:sz="6" w:space="0"/>
            </w:tcBorders>
            <w:vAlign w:val="center"/>
          </w:tcPr>
          <w:p w14:paraId="71E9BC95">
            <w:pPr>
              <w:spacing w:line="360" w:lineRule="auto"/>
              <w:jc w:val="center"/>
              <w:rPr>
                <w:rFonts w:hint="eastAsia" w:ascii="楷体" w:hAnsi="楷体" w:eastAsia="楷体" w:cs="楷体"/>
                <w:color w:val="auto"/>
                <w:sz w:val="30"/>
                <w:szCs w:val="30"/>
                <w:lang w:val="zh-CN"/>
              </w:rPr>
            </w:pPr>
          </w:p>
        </w:tc>
        <w:tc>
          <w:tcPr>
            <w:tcW w:w="900" w:type="dxa"/>
            <w:tcBorders>
              <w:top w:val="single" w:color="auto" w:sz="6" w:space="0"/>
              <w:left w:val="single" w:color="auto" w:sz="6" w:space="0"/>
              <w:bottom w:val="single" w:color="auto" w:sz="6" w:space="0"/>
              <w:right w:val="single" w:color="auto" w:sz="6" w:space="0"/>
            </w:tcBorders>
            <w:vAlign w:val="center"/>
          </w:tcPr>
          <w:p w14:paraId="2EF49731">
            <w:pPr>
              <w:spacing w:line="360" w:lineRule="auto"/>
              <w:jc w:val="center"/>
              <w:rPr>
                <w:rFonts w:hint="eastAsia" w:ascii="楷体" w:hAnsi="楷体" w:eastAsia="楷体" w:cs="楷体"/>
                <w:color w:val="auto"/>
                <w:sz w:val="30"/>
                <w:szCs w:val="30"/>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14:paraId="7858FE66">
            <w:pPr>
              <w:spacing w:line="360" w:lineRule="auto"/>
              <w:jc w:val="center"/>
              <w:rPr>
                <w:rFonts w:hint="eastAsia" w:ascii="楷体" w:hAnsi="楷体" w:eastAsia="楷体" w:cs="楷体"/>
                <w:color w:val="auto"/>
                <w:sz w:val="30"/>
                <w:szCs w:val="30"/>
                <w:lang w:val="zh-CN"/>
              </w:rPr>
            </w:pPr>
          </w:p>
        </w:tc>
        <w:tc>
          <w:tcPr>
            <w:tcW w:w="1283" w:type="dxa"/>
            <w:tcBorders>
              <w:top w:val="single" w:color="auto" w:sz="6" w:space="0"/>
              <w:left w:val="single" w:color="auto" w:sz="6" w:space="0"/>
              <w:bottom w:val="single" w:color="auto" w:sz="6" w:space="0"/>
              <w:right w:val="single" w:color="auto" w:sz="6" w:space="0"/>
            </w:tcBorders>
            <w:vAlign w:val="center"/>
          </w:tcPr>
          <w:p w14:paraId="092499D3">
            <w:pPr>
              <w:spacing w:line="360" w:lineRule="auto"/>
              <w:jc w:val="center"/>
              <w:rPr>
                <w:rFonts w:hint="eastAsia" w:ascii="楷体" w:hAnsi="楷体" w:eastAsia="楷体" w:cs="楷体"/>
                <w:color w:val="auto"/>
                <w:sz w:val="30"/>
                <w:szCs w:val="30"/>
                <w:lang w:val="zh-CN"/>
              </w:rPr>
            </w:pPr>
          </w:p>
        </w:tc>
        <w:tc>
          <w:tcPr>
            <w:tcW w:w="1360" w:type="dxa"/>
            <w:tcBorders>
              <w:top w:val="single" w:color="auto" w:sz="6" w:space="0"/>
              <w:left w:val="single" w:color="auto" w:sz="6" w:space="0"/>
              <w:bottom w:val="single" w:color="auto" w:sz="6" w:space="0"/>
              <w:right w:val="single" w:color="auto" w:sz="6" w:space="0"/>
            </w:tcBorders>
            <w:vAlign w:val="center"/>
          </w:tcPr>
          <w:p w14:paraId="5C2DF669">
            <w:pPr>
              <w:spacing w:line="360" w:lineRule="auto"/>
              <w:jc w:val="center"/>
              <w:rPr>
                <w:rFonts w:hint="eastAsia" w:ascii="楷体" w:hAnsi="楷体" w:eastAsia="楷体" w:cs="楷体"/>
                <w:color w:val="auto"/>
                <w:sz w:val="30"/>
                <w:szCs w:val="30"/>
                <w:lang w:val="zh-CN"/>
              </w:rPr>
            </w:pPr>
          </w:p>
        </w:tc>
        <w:tc>
          <w:tcPr>
            <w:tcW w:w="1500" w:type="dxa"/>
            <w:vMerge w:val="continue"/>
            <w:tcBorders>
              <w:top w:val="single" w:color="auto" w:sz="6" w:space="0"/>
              <w:left w:val="single" w:color="auto" w:sz="6" w:space="0"/>
              <w:bottom w:val="single" w:color="auto" w:sz="6" w:space="0"/>
              <w:right w:val="single" w:color="auto" w:sz="6" w:space="0"/>
            </w:tcBorders>
            <w:vAlign w:val="center"/>
          </w:tcPr>
          <w:p w14:paraId="6A531446">
            <w:pPr>
              <w:widowControl/>
              <w:jc w:val="left"/>
              <w:rPr>
                <w:rFonts w:hint="eastAsia" w:ascii="楷体" w:hAnsi="楷体" w:eastAsia="楷体" w:cs="楷体"/>
                <w:color w:val="auto"/>
                <w:sz w:val="30"/>
                <w:szCs w:val="30"/>
                <w:lang w:val="zh-CN"/>
              </w:rPr>
            </w:pPr>
          </w:p>
        </w:tc>
      </w:tr>
    </w:tbl>
    <w:p w14:paraId="2CA7709C">
      <w:pPr>
        <w:spacing w:line="360" w:lineRule="auto"/>
        <w:ind w:firstLine="600" w:firstLineChars="200"/>
        <w:jc w:val="center"/>
        <w:rPr>
          <w:rFonts w:hint="eastAsia" w:ascii="楷体" w:hAnsi="楷体" w:eastAsia="楷体" w:cs="楷体"/>
          <w:color w:val="auto"/>
          <w:sz w:val="30"/>
          <w:szCs w:val="30"/>
          <w:lang w:val="zh-CN"/>
        </w:rPr>
      </w:pPr>
    </w:p>
    <w:p w14:paraId="2E97E6EA">
      <w:pPr>
        <w:spacing w:line="360" w:lineRule="auto"/>
        <w:ind w:firstLine="600" w:firstLineChars="20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电脑服务季度度用户满意度调查表</w:t>
      </w:r>
    </w:p>
    <w:p w14:paraId="14827B79">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 xml:space="preserve">尊敬的科室用户： </w:t>
      </w:r>
    </w:p>
    <w:p w14:paraId="6CC789FA">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您好！感谢您长期以来对我们电脑维护服务的支持和信任！我们真诚地邀请您协助我们完成本问卷，您的任何意见和建议都将激发我们服务质量的不断完善和提高，谢谢！</w:t>
      </w:r>
    </w:p>
    <w:p w14:paraId="3E051E6D">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客户名称:中山大学孙逸仙纪念医院          日期:       年   月   日</w:t>
      </w:r>
    </w:p>
    <w:tbl>
      <w:tblPr>
        <w:tblStyle w:val="18"/>
        <w:tblW w:w="852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shd w:val="clear" w:color="auto" w:fill="FFFFFF"/>
        <w:tblLayout w:type="fixed"/>
        <w:tblCellMar>
          <w:top w:w="0" w:type="dxa"/>
          <w:left w:w="108" w:type="dxa"/>
          <w:bottom w:w="0" w:type="dxa"/>
          <w:right w:w="108" w:type="dxa"/>
        </w:tblCellMar>
      </w:tblPr>
      <w:tblGrid>
        <w:gridCol w:w="1237"/>
        <w:gridCol w:w="1348"/>
        <w:gridCol w:w="1748"/>
        <w:gridCol w:w="1557"/>
        <w:gridCol w:w="1385"/>
        <w:gridCol w:w="1245"/>
      </w:tblGrid>
      <w:tr w14:paraId="35B4234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shd w:val="clear" w:color="auto" w:fill="FFFFFF"/>
          <w:tblCellMar>
            <w:top w:w="0" w:type="dxa"/>
            <w:left w:w="108" w:type="dxa"/>
            <w:bottom w:w="0" w:type="dxa"/>
            <w:right w:w="108" w:type="dxa"/>
          </w:tblCellMar>
        </w:tblPrEx>
        <w:trPr>
          <w:cantSplit/>
          <w:trHeight w:val="90" w:hRule="atLeast"/>
          <w:jc w:val="center"/>
        </w:trPr>
        <w:tc>
          <w:tcPr>
            <w:tcW w:w="1237" w:type="dxa"/>
            <w:tcBorders>
              <w:top w:val="single" w:color="auto" w:sz="4" w:space="0"/>
              <w:left w:val="single" w:color="auto" w:sz="4" w:space="0"/>
              <w:bottom w:val="single" w:color="auto" w:sz="6" w:space="0"/>
              <w:right w:val="single" w:color="auto" w:sz="6" w:space="0"/>
            </w:tcBorders>
            <w:shd w:val="clear" w:color="auto" w:fill="FFFFFF"/>
            <w:vAlign w:val="center"/>
          </w:tcPr>
          <w:p w14:paraId="656D16EF">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科室部门</w:t>
            </w:r>
          </w:p>
        </w:tc>
        <w:tc>
          <w:tcPr>
            <w:tcW w:w="1348" w:type="dxa"/>
            <w:tcBorders>
              <w:top w:val="single" w:color="auto" w:sz="4" w:space="0"/>
              <w:left w:val="single" w:color="auto" w:sz="6" w:space="0"/>
              <w:bottom w:val="single" w:color="auto" w:sz="6" w:space="0"/>
              <w:right w:val="single" w:color="auto" w:sz="6" w:space="0"/>
            </w:tcBorders>
            <w:shd w:val="clear" w:color="auto" w:fill="FFFFFF"/>
            <w:vAlign w:val="center"/>
          </w:tcPr>
          <w:p w14:paraId="2515B8C6">
            <w:pPr>
              <w:spacing w:line="360" w:lineRule="auto"/>
              <w:jc w:val="center"/>
              <w:rPr>
                <w:rFonts w:hint="eastAsia" w:ascii="楷体" w:hAnsi="楷体" w:eastAsia="楷体" w:cs="楷体"/>
                <w:color w:val="auto"/>
                <w:sz w:val="30"/>
                <w:szCs w:val="30"/>
                <w:lang w:val="zh-CN"/>
              </w:rPr>
            </w:pPr>
          </w:p>
        </w:tc>
        <w:tc>
          <w:tcPr>
            <w:tcW w:w="1748" w:type="dxa"/>
            <w:tcBorders>
              <w:top w:val="single" w:color="auto" w:sz="4" w:space="0"/>
              <w:left w:val="single" w:color="auto" w:sz="6" w:space="0"/>
              <w:bottom w:val="single" w:color="auto" w:sz="6" w:space="0"/>
              <w:right w:val="single" w:color="auto" w:sz="6" w:space="0"/>
            </w:tcBorders>
            <w:shd w:val="clear" w:color="auto" w:fill="FFFFFF"/>
            <w:vAlign w:val="center"/>
          </w:tcPr>
          <w:p w14:paraId="4D5E57A0">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负责人签名</w:t>
            </w:r>
          </w:p>
        </w:tc>
        <w:tc>
          <w:tcPr>
            <w:tcW w:w="1557" w:type="dxa"/>
            <w:tcBorders>
              <w:top w:val="single" w:color="auto" w:sz="4" w:space="0"/>
              <w:left w:val="single" w:color="auto" w:sz="6" w:space="0"/>
              <w:bottom w:val="single" w:color="auto" w:sz="6" w:space="0"/>
              <w:right w:val="single" w:color="auto" w:sz="6" w:space="0"/>
            </w:tcBorders>
            <w:shd w:val="clear" w:color="auto" w:fill="FFFFFF"/>
            <w:vAlign w:val="center"/>
          </w:tcPr>
          <w:p w14:paraId="37546AD8">
            <w:pPr>
              <w:spacing w:line="360" w:lineRule="auto"/>
              <w:jc w:val="center"/>
              <w:rPr>
                <w:rFonts w:hint="eastAsia" w:ascii="楷体" w:hAnsi="楷体" w:eastAsia="楷体" w:cs="楷体"/>
                <w:color w:val="auto"/>
                <w:sz w:val="30"/>
                <w:szCs w:val="30"/>
                <w:lang w:val="zh-CN"/>
              </w:rPr>
            </w:pPr>
          </w:p>
        </w:tc>
        <w:tc>
          <w:tcPr>
            <w:tcW w:w="1385" w:type="dxa"/>
            <w:tcBorders>
              <w:top w:val="single" w:color="auto" w:sz="4" w:space="0"/>
              <w:left w:val="single" w:color="auto" w:sz="6" w:space="0"/>
              <w:bottom w:val="single" w:color="auto" w:sz="6" w:space="0"/>
              <w:right w:val="single" w:color="auto" w:sz="6" w:space="0"/>
            </w:tcBorders>
            <w:shd w:val="clear" w:color="auto" w:fill="FFFFFF"/>
            <w:vAlign w:val="center"/>
          </w:tcPr>
          <w:p w14:paraId="3C93B284">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电话/分机</w:t>
            </w:r>
          </w:p>
        </w:tc>
        <w:tc>
          <w:tcPr>
            <w:tcW w:w="1245" w:type="dxa"/>
            <w:tcBorders>
              <w:top w:val="single" w:color="auto" w:sz="4" w:space="0"/>
              <w:left w:val="single" w:color="auto" w:sz="6" w:space="0"/>
              <w:bottom w:val="single" w:color="auto" w:sz="6" w:space="0"/>
              <w:right w:val="single" w:color="auto" w:sz="4" w:space="0"/>
            </w:tcBorders>
            <w:shd w:val="clear" w:color="auto" w:fill="FFFFFF"/>
            <w:vAlign w:val="center"/>
          </w:tcPr>
          <w:p w14:paraId="093447D3">
            <w:pPr>
              <w:spacing w:line="360" w:lineRule="auto"/>
              <w:jc w:val="center"/>
              <w:rPr>
                <w:rFonts w:hint="eastAsia" w:ascii="楷体" w:hAnsi="楷体" w:eastAsia="楷体" w:cs="楷体"/>
                <w:color w:val="auto"/>
                <w:sz w:val="30"/>
                <w:szCs w:val="30"/>
                <w:lang w:val="zh-CN"/>
              </w:rPr>
            </w:pPr>
          </w:p>
        </w:tc>
      </w:tr>
      <w:tr w14:paraId="2CEDB3D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520" w:type="dxa"/>
            <w:gridSpan w:val="6"/>
            <w:tcBorders>
              <w:top w:val="single" w:color="auto" w:sz="6" w:space="0"/>
              <w:left w:val="single" w:color="auto" w:sz="4" w:space="0"/>
              <w:bottom w:val="single" w:color="auto" w:sz="6" w:space="0"/>
              <w:right w:val="single" w:color="auto" w:sz="4" w:space="0"/>
            </w:tcBorders>
            <w:shd w:val="clear" w:color="auto" w:fill="FFFFFF"/>
            <w:vAlign w:val="center"/>
          </w:tcPr>
          <w:p w14:paraId="5ABA020E">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请您对上门技术员的服务质量进行评价</w:t>
            </w:r>
          </w:p>
        </w:tc>
      </w:tr>
      <w:tr w14:paraId="38AE96E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shd w:val="clear" w:color="auto" w:fill="FFFFFF"/>
          <w:tblCellMar>
            <w:top w:w="0" w:type="dxa"/>
            <w:left w:w="108" w:type="dxa"/>
            <w:bottom w:w="0" w:type="dxa"/>
            <w:right w:w="108" w:type="dxa"/>
          </w:tblCellMar>
        </w:tblPrEx>
        <w:trPr>
          <w:cantSplit/>
          <w:trHeight w:val="90" w:hRule="atLeast"/>
          <w:jc w:val="center"/>
        </w:trPr>
        <w:tc>
          <w:tcPr>
            <w:tcW w:w="2585" w:type="dxa"/>
            <w:gridSpan w:val="2"/>
            <w:tcBorders>
              <w:top w:val="single" w:color="auto" w:sz="6" w:space="0"/>
              <w:left w:val="single" w:color="auto" w:sz="4" w:space="0"/>
              <w:bottom w:val="single" w:color="auto" w:sz="6" w:space="0"/>
              <w:right w:val="single" w:color="auto" w:sz="6" w:space="0"/>
            </w:tcBorders>
            <w:shd w:val="clear" w:color="auto" w:fill="FFFFFF"/>
            <w:vAlign w:val="center"/>
          </w:tcPr>
          <w:p w14:paraId="361845DF">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1、服务态度</w:t>
            </w:r>
          </w:p>
        </w:tc>
        <w:tc>
          <w:tcPr>
            <w:tcW w:w="5935" w:type="dxa"/>
            <w:gridSpan w:val="4"/>
            <w:tcBorders>
              <w:top w:val="single" w:color="auto" w:sz="6" w:space="0"/>
              <w:left w:val="single" w:color="auto" w:sz="6" w:space="0"/>
              <w:bottom w:val="single" w:color="auto" w:sz="6" w:space="0"/>
              <w:right w:val="single" w:color="auto" w:sz="4" w:space="0"/>
            </w:tcBorders>
            <w:shd w:val="clear" w:color="auto" w:fill="FFFFFF"/>
            <w:vAlign w:val="center"/>
          </w:tcPr>
          <w:p w14:paraId="5C3D59E5">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口很满意      口满意     　口尚可     口不满意</w:t>
            </w:r>
          </w:p>
        </w:tc>
      </w:tr>
      <w:tr w14:paraId="1A1F899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585" w:type="dxa"/>
            <w:gridSpan w:val="2"/>
            <w:tcBorders>
              <w:top w:val="single" w:color="auto" w:sz="6" w:space="0"/>
              <w:left w:val="single" w:color="auto" w:sz="4" w:space="0"/>
              <w:bottom w:val="single" w:color="auto" w:sz="6" w:space="0"/>
              <w:right w:val="single" w:color="auto" w:sz="6" w:space="0"/>
            </w:tcBorders>
            <w:shd w:val="clear" w:color="auto" w:fill="FFFFFF"/>
            <w:vAlign w:val="center"/>
          </w:tcPr>
          <w:p w14:paraId="1CDF3D23">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2、技能水平</w:t>
            </w:r>
          </w:p>
        </w:tc>
        <w:tc>
          <w:tcPr>
            <w:tcW w:w="5935" w:type="dxa"/>
            <w:gridSpan w:val="4"/>
            <w:tcBorders>
              <w:top w:val="single" w:color="auto" w:sz="6" w:space="0"/>
              <w:left w:val="single" w:color="auto" w:sz="6" w:space="0"/>
              <w:bottom w:val="single" w:color="auto" w:sz="6" w:space="0"/>
              <w:right w:val="single" w:color="auto" w:sz="4" w:space="0"/>
            </w:tcBorders>
            <w:shd w:val="clear" w:color="auto" w:fill="FFFFFF"/>
            <w:vAlign w:val="center"/>
          </w:tcPr>
          <w:p w14:paraId="3B3923CF">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口很满意      口满意     　口尚可     口不满意</w:t>
            </w:r>
          </w:p>
        </w:tc>
      </w:tr>
      <w:tr w14:paraId="04C4F8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shd w:val="clear" w:color="auto" w:fill="FFFFFF"/>
          <w:tblCellMar>
            <w:top w:w="0" w:type="dxa"/>
            <w:left w:w="108" w:type="dxa"/>
            <w:bottom w:w="0" w:type="dxa"/>
            <w:right w:w="108" w:type="dxa"/>
          </w:tblCellMar>
        </w:tblPrEx>
        <w:trPr>
          <w:cantSplit/>
          <w:trHeight w:val="90" w:hRule="atLeast"/>
          <w:jc w:val="center"/>
        </w:trPr>
        <w:tc>
          <w:tcPr>
            <w:tcW w:w="2585" w:type="dxa"/>
            <w:gridSpan w:val="2"/>
            <w:tcBorders>
              <w:top w:val="single" w:color="auto" w:sz="6" w:space="0"/>
              <w:left w:val="single" w:color="auto" w:sz="4" w:space="0"/>
              <w:bottom w:val="single" w:color="auto" w:sz="6" w:space="0"/>
              <w:right w:val="single" w:color="auto" w:sz="6" w:space="0"/>
            </w:tcBorders>
            <w:shd w:val="clear" w:color="auto" w:fill="FFFFFF"/>
            <w:vAlign w:val="center"/>
          </w:tcPr>
          <w:p w14:paraId="46EEA4C6">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3、解决效率</w:t>
            </w:r>
          </w:p>
        </w:tc>
        <w:tc>
          <w:tcPr>
            <w:tcW w:w="5935" w:type="dxa"/>
            <w:gridSpan w:val="4"/>
            <w:tcBorders>
              <w:top w:val="single" w:color="auto" w:sz="6" w:space="0"/>
              <w:left w:val="single" w:color="auto" w:sz="6" w:space="0"/>
              <w:bottom w:val="single" w:color="auto" w:sz="6" w:space="0"/>
              <w:right w:val="single" w:color="auto" w:sz="4" w:space="0"/>
            </w:tcBorders>
            <w:shd w:val="clear" w:color="auto" w:fill="FFFFFF"/>
            <w:vAlign w:val="center"/>
          </w:tcPr>
          <w:p w14:paraId="4C3412E0">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口很满意      口满意     　口尚可     口不满意</w:t>
            </w:r>
          </w:p>
        </w:tc>
      </w:tr>
      <w:tr w14:paraId="7E8E359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shd w:val="clear" w:color="auto" w:fill="FFFFFF"/>
          <w:tblCellMar>
            <w:top w:w="0" w:type="dxa"/>
            <w:left w:w="108" w:type="dxa"/>
            <w:bottom w:w="0" w:type="dxa"/>
            <w:right w:w="108" w:type="dxa"/>
          </w:tblCellMar>
        </w:tblPrEx>
        <w:trPr>
          <w:cantSplit/>
          <w:trHeight w:val="90" w:hRule="atLeast"/>
          <w:jc w:val="center"/>
        </w:trPr>
        <w:tc>
          <w:tcPr>
            <w:tcW w:w="2585" w:type="dxa"/>
            <w:gridSpan w:val="2"/>
            <w:tcBorders>
              <w:top w:val="single" w:color="auto" w:sz="6" w:space="0"/>
              <w:left w:val="single" w:color="auto" w:sz="4" w:space="0"/>
              <w:bottom w:val="single" w:color="auto" w:sz="6" w:space="0"/>
              <w:right w:val="single" w:color="auto" w:sz="6" w:space="0"/>
            </w:tcBorders>
            <w:shd w:val="clear" w:color="auto" w:fill="FFFFFF"/>
            <w:vAlign w:val="center"/>
          </w:tcPr>
          <w:p w14:paraId="13702B9D">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4、整体评价</w:t>
            </w:r>
          </w:p>
        </w:tc>
        <w:tc>
          <w:tcPr>
            <w:tcW w:w="5935" w:type="dxa"/>
            <w:gridSpan w:val="4"/>
            <w:tcBorders>
              <w:top w:val="single" w:color="auto" w:sz="6" w:space="0"/>
              <w:left w:val="single" w:color="auto" w:sz="6" w:space="0"/>
              <w:bottom w:val="single" w:color="auto" w:sz="6" w:space="0"/>
              <w:right w:val="single" w:color="auto" w:sz="4" w:space="0"/>
            </w:tcBorders>
            <w:shd w:val="clear" w:color="auto" w:fill="FFFFFF"/>
            <w:vAlign w:val="center"/>
          </w:tcPr>
          <w:p w14:paraId="5145D1CB">
            <w:pPr>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口很满意      口满意     　口尚可     口不满意</w:t>
            </w:r>
          </w:p>
        </w:tc>
      </w:tr>
      <w:tr w14:paraId="15BD8E6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520" w:type="dxa"/>
            <w:gridSpan w:val="6"/>
            <w:tcBorders>
              <w:top w:val="single" w:color="auto" w:sz="6" w:space="0"/>
              <w:left w:val="single" w:color="auto" w:sz="4" w:space="0"/>
              <w:bottom w:val="single" w:color="auto" w:sz="4" w:space="0"/>
              <w:right w:val="single" w:color="auto" w:sz="4" w:space="0"/>
            </w:tcBorders>
            <w:shd w:val="clear" w:color="auto" w:fill="FFFFFF"/>
            <w:vAlign w:val="center"/>
          </w:tcPr>
          <w:p w14:paraId="30AA70FE">
            <w:pPr>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你的要求和建议:</w:t>
            </w:r>
          </w:p>
        </w:tc>
      </w:tr>
    </w:tbl>
    <w:p w14:paraId="240DB062">
      <w:pPr>
        <w:pStyle w:val="9"/>
        <w:numPr>
          <w:ilvl w:val="255"/>
          <w:numId w:val="0"/>
        </w:numPr>
        <w:tabs>
          <w:tab w:val="left" w:pos="540"/>
        </w:tabs>
        <w:snapToGrid w:val="0"/>
        <w:spacing w:before="156" w:beforeLines="50" w:line="360" w:lineRule="auto"/>
        <w:rPr>
          <w:rFonts w:hint="eastAsia" w:ascii="楷体" w:hAnsi="楷体" w:eastAsia="楷体" w:cs="楷体"/>
          <w:b/>
          <w:color w:val="auto"/>
          <w:sz w:val="30"/>
          <w:szCs w:val="30"/>
          <w:lang w:val="zh-CN"/>
        </w:rPr>
      </w:pPr>
      <w:r>
        <w:rPr>
          <w:rFonts w:hint="eastAsia" w:ascii="楷体" w:hAnsi="楷体" w:eastAsia="楷体" w:cs="楷体"/>
          <w:b/>
          <w:color w:val="auto"/>
          <w:sz w:val="30"/>
          <w:szCs w:val="30"/>
        </w:rPr>
        <w:t>（二）惩罚</w:t>
      </w:r>
      <w:r>
        <w:rPr>
          <w:rFonts w:hint="eastAsia" w:ascii="楷体" w:hAnsi="楷体" w:eastAsia="楷体" w:cs="楷体"/>
          <w:b/>
          <w:color w:val="auto"/>
          <w:sz w:val="30"/>
          <w:szCs w:val="30"/>
          <w:lang w:val="zh-CN"/>
        </w:rPr>
        <w:t>制度</w:t>
      </w:r>
    </w:p>
    <w:p w14:paraId="3C346FB3">
      <w:pPr>
        <w:pStyle w:val="62"/>
        <w:adjustRightInd w:val="0"/>
        <w:snapToGrid w:val="0"/>
        <w:spacing w:line="360" w:lineRule="auto"/>
        <w:rPr>
          <w:rFonts w:hint="eastAsia" w:ascii="楷体" w:hAnsi="楷体" w:eastAsia="楷体" w:cs="楷体"/>
          <w:color w:val="auto"/>
          <w:kern w:val="2"/>
          <w:sz w:val="30"/>
          <w:szCs w:val="30"/>
          <w:lang w:val="zh-CN" w:eastAsia="zh-CN"/>
        </w:rPr>
      </w:pPr>
      <w:r>
        <w:rPr>
          <w:rFonts w:hint="eastAsia" w:ascii="楷体" w:hAnsi="楷体" w:eastAsia="楷体" w:cs="楷体"/>
          <w:color w:val="auto"/>
          <w:kern w:val="2"/>
          <w:sz w:val="30"/>
          <w:szCs w:val="30"/>
          <w:lang w:val="zh-CN" w:eastAsia="zh-CN"/>
        </w:rPr>
        <w:t>1、服务质量每季度考核一次（考核及格才按服务质量情况扣减相应金额后支付服务费），包括但不限于：</w:t>
      </w:r>
    </w:p>
    <w:p w14:paraId="42AE0689">
      <w:pPr>
        <w:keepNext w:val="0"/>
        <w:keepLines w:val="0"/>
        <w:pageBreakBefore w:val="0"/>
        <w:widowControl/>
        <w:numPr>
          <w:ilvl w:val="0"/>
          <w:numId w:val="0"/>
        </w:numPr>
        <w:kinsoku/>
        <w:wordWrap/>
        <w:overflowPunct/>
        <w:topLinePunct w:val="0"/>
        <w:autoSpaceDE/>
        <w:autoSpaceDN/>
        <w:bidi w:val="0"/>
        <w:adjustRightInd/>
        <w:snapToGrid w:val="0"/>
        <w:spacing w:line="360" w:lineRule="auto"/>
        <w:ind w:left="0" w:leftChars="0"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(1)</w:t>
      </w:r>
      <w:r>
        <w:rPr>
          <w:rFonts w:hint="eastAsia" w:ascii="楷体" w:hAnsi="楷体" w:eastAsia="楷体" w:cs="楷体"/>
          <w:color w:val="auto"/>
          <w:sz w:val="30"/>
          <w:szCs w:val="30"/>
          <w:lang w:val="zh-CN"/>
        </w:rPr>
        <w:t>迟到或早退（一小时内），每人次扣50元；</w:t>
      </w:r>
    </w:p>
    <w:p w14:paraId="293D8DD0">
      <w:pPr>
        <w:keepNext w:val="0"/>
        <w:keepLines w:val="0"/>
        <w:pageBreakBefore w:val="0"/>
        <w:widowControl/>
        <w:numPr>
          <w:ilvl w:val="0"/>
          <w:numId w:val="0"/>
        </w:numPr>
        <w:kinsoku/>
        <w:wordWrap/>
        <w:overflowPunct/>
        <w:topLinePunct w:val="0"/>
        <w:autoSpaceDE/>
        <w:autoSpaceDN/>
        <w:bidi w:val="0"/>
        <w:adjustRightInd/>
        <w:snapToGrid w:val="0"/>
        <w:spacing w:line="360" w:lineRule="auto"/>
        <w:ind w:left="0" w:leftChars="0"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(2)</w:t>
      </w:r>
      <w:r>
        <w:rPr>
          <w:rFonts w:hint="eastAsia" w:ascii="楷体" w:hAnsi="楷体" w:eastAsia="楷体" w:cs="楷体"/>
          <w:color w:val="auto"/>
          <w:sz w:val="30"/>
          <w:szCs w:val="30"/>
          <w:lang w:val="zh-CN"/>
        </w:rPr>
        <w:t>迟到或早退（一小时至两个小时），每人次扣100元；</w:t>
      </w:r>
    </w:p>
    <w:p w14:paraId="39762873">
      <w:pPr>
        <w:keepNext w:val="0"/>
        <w:keepLines w:val="0"/>
        <w:pageBreakBefore w:val="0"/>
        <w:widowControl/>
        <w:numPr>
          <w:ilvl w:val="0"/>
          <w:numId w:val="0"/>
        </w:numPr>
        <w:kinsoku/>
        <w:wordWrap/>
        <w:overflowPunct/>
        <w:topLinePunct w:val="0"/>
        <w:autoSpaceDE/>
        <w:autoSpaceDN/>
        <w:bidi w:val="0"/>
        <w:adjustRightInd/>
        <w:snapToGrid w:val="0"/>
        <w:spacing w:line="360" w:lineRule="auto"/>
        <w:ind w:left="0" w:leftChars="0"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(3)</w:t>
      </w:r>
      <w:r>
        <w:rPr>
          <w:rFonts w:hint="eastAsia" w:ascii="楷体" w:hAnsi="楷体" w:eastAsia="楷体" w:cs="楷体"/>
          <w:color w:val="auto"/>
          <w:sz w:val="30"/>
          <w:szCs w:val="30"/>
          <w:lang w:val="zh-CN"/>
        </w:rPr>
        <w:t>迟到或早退两个小时以上，当旷工一个早上或一个下午处理，每人次扣200元；</w:t>
      </w:r>
    </w:p>
    <w:p w14:paraId="04FA8CFC">
      <w:pPr>
        <w:keepNext w:val="0"/>
        <w:keepLines w:val="0"/>
        <w:pageBreakBefore w:val="0"/>
        <w:widowControl/>
        <w:numPr>
          <w:ilvl w:val="0"/>
          <w:numId w:val="0"/>
        </w:numPr>
        <w:kinsoku/>
        <w:wordWrap/>
        <w:overflowPunct/>
        <w:topLinePunct w:val="0"/>
        <w:autoSpaceDE/>
        <w:autoSpaceDN/>
        <w:bidi w:val="0"/>
        <w:adjustRightInd/>
        <w:snapToGrid w:val="0"/>
        <w:spacing w:line="360" w:lineRule="auto"/>
        <w:ind w:left="0" w:leftChars="0"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(4)</w:t>
      </w:r>
      <w:r>
        <w:rPr>
          <w:rFonts w:hint="eastAsia" w:ascii="楷体" w:hAnsi="楷体" w:eastAsia="楷体" w:cs="楷体"/>
          <w:color w:val="auto"/>
          <w:sz w:val="30"/>
          <w:szCs w:val="30"/>
          <w:lang w:val="zh-CN"/>
        </w:rPr>
        <w:t>旷工一个早上或一个下午，每人次扣200元；</w:t>
      </w:r>
    </w:p>
    <w:p w14:paraId="1AFF64C9">
      <w:pPr>
        <w:keepNext w:val="0"/>
        <w:keepLines w:val="0"/>
        <w:pageBreakBefore w:val="0"/>
        <w:widowControl/>
        <w:numPr>
          <w:ilvl w:val="0"/>
          <w:numId w:val="0"/>
        </w:numPr>
        <w:kinsoku/>
        <w:wordWrap/>
        <w:overflowPunct/>
        <w:topLinePunct w:val="0"/>
        <w:autoSpaceDE/>
        <w:autoSpaceDN/>
        <w:bidi w:val="0"/>
        <w:adjustRightInd/>
        <w:snapToGrid w:val="0"/>
        <w:spacing w:line="360" w:lineRule="auto"/>
        <w:ind w:left="0" w:leftChars="0"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(5)</w:t>
      </w:r>
      <w:r>
        <w:rPr>
          <w:rFonts w:hint="eastAsia" w:ascii="楷体" w:hAnsi="楷体" w:eastAsia="楷体" w:cs="楷体"/>
          <w:color w:val="auto"/>
          <w:sz w:val="30"/>
          <w:szCs w:val="30"/>
          <w:lang w:val="zh-CN"/>
        </w:rPr>
        <w:t>如确有事需要请假的，应提前向智慧医院建设部申请并得到批准，可以请假，请假时间需要补回；</w:t>
      </w:r>
    </w:p>
    <w:p w14:paraId="52CA2033">
      <w:pPr>
        <w:keepNext w:val="0"/>
        <w:keepLines w:val="0"/>
        <w:pageBreakBefore w:val="0"/>
        <w:widowControl/>
        <w:numPr>
          <w:ilvl w:val="0"/>
          <w:numId w:val="0"/>
        </w:numPr>
        <w:kinsoku/>
        <w:wordWrap/>
        <w:overflowPunct/>
        <w:topLinePunct w:val="0"/>
        <w:autoSpaceDE/>
        <w:autoSpaceDN/>
        <w:bidi w:val="0"/>
        <w:adjustRightInd/>
        <w:snapToGrid w:val="0"/>
        <w:spacing w:line="360" w:lineRule="auto"/>
        <w:ind w:left="0" w:leftChars="0"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(6)</w:t>
      </w:r>
      <w:r>
        <w:rPr>
          <w:rFonts w:hint="eastAsia" w:ascii="楷体" w:hAnsi="楷体" w:eastAsia="楷体" w:cs="楷体"/>
          <w:color w:val="auto"/>
          <w:sz w:val="30"/>
          <w:szCs w:val="30"/>
          <w:lang w:val="zh-CN"/>
        </w:rPr>
        <w:t>一个月（以自然月计算）有10人次迟到或早退，或者有5人次旷工，本季度度考核不及格；</w:t>
      </w:r>
    </w:p>
    <w:p w14:paraId="2F4232AC">
      <w:pPr>
        <w:pStyle w:val="2"/>
        <w:keepNext w:val="0"/>
        <w:keepLines w:val="0"/>
        <w:pageBreakBefore w:val="0"/>
        <w:widowControl/>
        <w:numPr>
          <w:ilvl w:val="0"/>
          <w:numId w:val="0"/>
        </w:numPr>
        <w:kinsoku/>
        <w:wordWrap/>
        <w:overflowPunct/>
        <w:topLinePunct w:val="0"/>
        <w:autoSpaceDE/>
        <w:autoSpaceDN/>
        <w:bidi w:val="0"/>
        <w:adjustRightInd/>
        <w:snapToGrid w:val="0"/>
        <w:ind w:left="0" w:leftChars="0" w:firstLine="600" w:firstLineChars="200"/>
        <w:jc w:val="left"/>
        <w:textAlignment w:val="auto"/>
        <w:rPr>
          <w:rFonts w:hint="eastAsia" w:ascii="楷体" w:hAnsi="楷体" w:eastAsia="楷体" w:cs="楷体"/>
          <w:color w:val="auto"/>
          <w:sz w:val="30"/>
          <w:szCs w:val="30"/>
          <w:lang w:val="zh-CN"/>
        </w:rPr>
      </w:pPr>
      <w:r>
        <w:rPr>
          <w:rFonts w:hint="eastAsia" w:ascii="楷体" w:hAnsi="楷体" w:eastAsia="楷体" w:cs="楷体"/>
          <w:color w:val="auto"/>
          <w:kern w:val="2"/>
          <w:sz w:val="30"/>
          <w:szCs w:val="30"/>
          <w:lang w:val="zh-CN" w:eastAsia="zh-CN" w:bidi="ar-SA"/>
        </w:rPr>
        <w:t>(7)</w:t>
      </w:r>
      <w:r>
        <w:rPr>
          <w:rFonts w:hint="eastAsia" w:ascii="楷体" w:hAnsi="楷体" w:eastAsia="楷体" w:cs="楷体"/>
          <w:color w:val="auto"/>
          <w:sz w:val="30"/>
          <w:szCs w:val="30"/>
          <w:lang w:val="zh-CN"/>
        </w:rPr>
        <w:t>应急响应服务未能及时处置，报障后2小时内未能抵达现场，每次扣300元，如因此导致采购人产生其他严重后果，应进行进一步赔偿。</w:t>
      </w:r>
    </w:p>
    <w:p w14:paraId="199ECAC7">
      <w:pPr>
        <w:snapToGrid w:val="0"/>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2、投诉</w:t>
      </w:r>
    </w:p>
    <w:p w14:paraId="7BD5E30B">
      <w:pPr>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若有有效投诉，一经查实，每次扣300元。季度度有10次及以上</w:t>
      </w:r>
      <w:r>
        <w:rPr>
          <w:rFonts w:hint="eastAsia" w:ascii="楷体" w:hAnsi="楷体" w:eastAsia="楷体" w:cs="楷体"/>
          <w:color w:val="auto"/>
          <w:sz w:val="30"/>
          <w:szCs w:val="30"/>
        </w:rPr>
        <w:t>的有效</w:t>
      </w:r>
      <w:r>
        <w:rPr>
          <w:rFonts w:hint="eastAsia" w:ascii="楷体" w:hAnsi="楷体" w:eastAsia="楷体" w:cs="楷体"/>
          <w:color w:val="auto"/>
          <w:sz w:val="30"/>
          <w:szCs w:val="30"/>
          <w:lang w:val="zh-CN"/>
        </w:rPr>
        <w:t>投诉，本季度度考核不及格。</w:t>
      </w:r>
    </w:p>
    <w:p w14:paraId="57742A62">
      <w:pPr>
        <w:snapToGrid w:val="0"/>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3、中标人承诺但没有兑现的。</w:t>
      </w:r>
    </w:p>
    <w:p w14:paraId="1E8AE884">
      <w:pPr>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以下是服务质量季度度考核表，包括《季度</w:t>
      </w:r>
      <w:r>
        <w:rPr>
          <w:rFonts w:hint="eastAsia" w:ascii="楷体" w:hAnsi="楷体" w:eastAsia="楷体" w:cs="楷体"/>
          <w:color w:val="auto"/>
          <w:sz w:val="30"/>
          <w:szCs w:val="30"/>
        </w:rPr>
        <w:t>罚金</w:t>
      </w:r>
      <w:r>
        <w:rPr>
          <w:rFonts w:hint="eastAsia" w:ascii="楷体" w:hAnsi="楷体" w:eastAsia="楷体" w:cs="楷体"/>
          <w:color w:val="auto"/>
          <w:sz w:val="30"/>
          <w:szCs w:val="30"/>
          <w:lang w:val="zh-CN"/>
        </w:rPr>
        <w:t>统计表》。《季度罚金统计表》统计季度罚金数额，从服务商应得的服务费中扣减；</w:t>
      </w:r>
    </w:p>
    <w:p w14:paraId="5206CD8B">
      <w:pPr>
        <w:snapToGrid w:val="0"/>
        <w:spacing w:line="360" w:lineRule="auto"/>
        <w:ind w:firstLine="600" w:firstLineChars="200"/>
        <w:rPr>
          <w:rFonts w:hint="eastAsia" w:ascii="楷体" w:hAnsi="楷体" w:eastAsia="楷体" w:cs="楷体"/>
          <w:color w:val="auto"/>
          <w:sz w:val="30"/>
          <w:szCs w:val="30"/>
          <w:lang w:val="zh-CN"/>
        </w:rPr>
      </w:pPr>
    </w:p>
    <w:p w14:paraId="6A08332C">
      <w:pPr>
        <w:snapToGrid w:val="0"/>
        <w:spacing w:line="360" w:lineRule="auto"/>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《季度</w:t>
      </w:r>
      <w:r>
        <w:rPr>
          <w:rFonts w:hint="eastAsia" w:ascii="楷体" w:hAnsi="楷体" w:eastAsia="楷体" w:cs="楷体"/>
          <w:color w:val="auto"/>
          <w:sz w:val="30"/>
          <w:szCs w:val="30"/>
        </w:rPr>
        <w:t>罚金</w:t>
      </w:r>
      <w:r>
        <w:rPr>
          <w:rFonts w:hint="eastAsia" w:ascii="楷体" w:hAnsi="楷体" w:eastAsia="楷体" w:cs="楷体"/>
          <w:color w:val="auto"/>
          <w:sz w:val="30"/>
          <w:szCs w:val="30"/>
          <w:lang w:val="zh-CN"/>
        </w:rPr>
        <w:t>统计表》</w:t>
      </w:r>
    </w:p>
    <w:p w14:paraId="57A00B7B">
      <w:pPr>
        <w:snapToGrid w:val="0"/>
        <w:spacing w:line="360" w:lineRule="auto"/>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被考核单位：（</w:t>
      </w:r>
      <w:r>
        <w:rPr>
          <w:rFonts w:hint="eastAsia" w:ascii="楷体" w:hAnsi="楷体" w:eastAsia="楷体" w:cs="楷体"/>
          <w:color w:val="auto"/>
          <w:sz w:val="30"/>
          <w:szCs w:val="30"/>
        </w:rPr>
        <w:t>中标人</w:t>
      </w:r>
      <w:r>
        <w:rPr>
          <w:rFonts w:hint="eastAsia" w:ascii="楷体" w:hAnsi="楷体" w:eastAsia="楷体" w:cs="楷体"/>
          <w:color w:val="auto"/>
          <w:sz w:val="30"/>
          <w:szCs w:val="30"/>
          <w:lang w:val="zh-CN"/>
        </w:rPr>
        <w:t>公司名称）           考核时间：年</w:t>
      </w:r>
      <w:r>
        <w:rPr>
          <w:rFonts w:hint="eastAsia" w:ascii="楷体" w:hAnsi="楷体" w:eastAsia="楷体" w:cs="楷体"/>
          <w:color w:val="auto"/>
          <w:sz w:val="30"/>
          <w:szCs w:val="30"/>
        </w:rPr>
        <w:t xml:space="preserve"> </w:t>
      </w:r>
      <w:r>
        <w:rPr>
          <w:rFonts w:hint="eastAsia" w:ascii="楷体" w:hAnsi="楷体" w:eastAsia="楷体" w:cs="楷体"/>
          <w:color w:val="auto"/>
          <w:sz w:val="30"/>
          <w:szCs w:val="30"/>
          <w:lang w:val="zh-CN"/>
        </w:rPr>
        <w:t>月 至 年</w:t>
      </w:r>
      <w:r>
        <w:rPr>
          <w:rFonts w:hint="eastAsia" w:ascii="楷体" w:hAnsi="楷体" w:eastAsia="楷体" w:cs="楷体"/>
          <w:color w:val="auto"/>
          <w:sz w:val="30"/>
          <w:szCs w:val="30"/>
        </w:rPr>
        <w:t xml:space="preserve"> </w:t>
      </w:r>
      <w:r>
        <w:rPr>
          <w:rFonts w:hint="eastAsia" w:ascii="楷体" w:hAnsi="楷体" w:eastAsia="楷体" w:cs="楷体"/>
          <w:color w:val="auto"/>
          <w:sz w:val="30"/>
          <w:szCs w:val="30"/>
          <w:lang w:val="zh-CN"/>
        </w:rPr>
        <w:t>月</w:t>
      </w:r>
    </w:p>
    <w:tbl>
      <w:tblPr>
        <w:tblStyle w:val="18"/>
        <w:tblW w:w="5146" w:type="pct"/>
        <w:jc w:val="center"/>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Layout w:type="autofit"/>
        <w:tblCellMar>
          <w:top w:w="0" w:type="dxa"/>
          <w:left w:w="108" w:type="dxa"/>
          <w:bottom w:w="0" w:type="dxa"/>
          <w:right w:w="108" w:type="dxa"/>
        </w:tblCellMar>
      </w:tblPr>
      <w:tblGrid>
        <w:gridCol w:w="414"/>
        <w:gridCol w:w="1891"/>
        <w:gridCol w:w="691"/>
        <w:gridCol w:w="637"/>
        <w:gridCol w:w="897"/>
        <w:gridCol w:w="831"/>
        <w:gridCol w:w="3305"/>
      </w:tblGrid>
      <w:tr w14:paraId="444ECCC8">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7" w:type="pct"/>
            <w:tcBorders>
              <w:top w:val="single" w:color="auto" w:sz="2" w:space="0"/>
              <w:left w:val="single" w:color="auto" w:sz="2" w:space="0"/>
              <w:bottom w:val="single" w:color="auto" w:sz="4" w:space="0"/>
              <w:right w:val="single" w:color="auto" w:sz="4" w:space="0"/>
            </w:tcBorders>
            <w:tcMar>
              <w:top w:w="0" w:type="dxa"/>
              <w:left w:w="57" w:type="dxa"/>
              <w:bottom w:w="0" w:type="dxa"/>
              <w:right w:w="57" w:type="dxa"/>
            </w:tcMar>
            <w:vAlign w:val="center"/>
          </w:tcPr>
          <w:p w14:paraId="31E54820">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序号</w:t>
            </w:r>
          </w:p>
        </w:tc>
        <w:tc>
          <w:tcPr>
            <w:tcW w:w="1099" w:type="pct"/>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14:paraId="440CB051">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考核项目</w:t>
            </w:r>
          </w:p>
        </w:tc>
        <w:tc>
          <w:tcPr>
            <w:tcW w:w="407" w:type="pct"/>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14:paraId="35D4F236">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单位</w:t>
            </w:r>
          </w:p>
        </w:tc>
        <w:tc>
          <w:tcPr>
            <w:tcW w:w="376" w:type="pct"/>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14:paraId="455CD2D7">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数量</w:t>
            </w:r>
          </w:p>
        </w:tc>
        <w:tc>
          <w:tcPr>
            <w:tcW w:w="526" w:type="pct"/>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14:paraId="1511580D">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单位</w:t>
            </w:r>
            <w:r>
              <w:rPr>
                <w:rFonts w:hint="eastAsia" w:ascii="楷体" w:hAnsi="楷体" w:eastAsia="楷体" w:cs="楷体"/>
                <w:color w:val="auto"/>
                <w:sz w:val="30"/>
                <w:szCs w:val="30"/>
              </w:rPr>
              <w:t>罚金</w:t>
            </w:r>
          </w:p>
        </w:tc>
        <w:tc>
          <w:tcPr>
            <w:tcW w:w="488" w:type="pct"/>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14:paraId="556BAB4F">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扣罚金额</w:t>
            </w:r>
          </w:p>
        </w:tc>
        <w:tc>
          <w:tcPr>
            <w:tcW w:w="1914" w:type="pct"/>
            <w:tcBorders>
              <w:top w:val="single" w:color="auto" w:sz="2" w:space="0"/>
              <w:left w:val="single" w:color="auto" w:sz="4" w:space="0"/>
              <w:bottom w:val="single" w:color="auto" w:sz="4" w:space="0"/>
              <w:right w:val="single" w:color="auto" w:sz="2" w:space="0"/>
            </w:tcBorders>
            <w:tcMar>
              <w:top w:w="0" w:type="dxa"/>
              <w:left w:w="57" w:type="dxa"/>
              <w:bottom w:w="0" w:type="dxa"/>
              <w:right w:w="57" w:type="dxa"/>
            </w:tcMar>
            <w:vAlign w:val="center"/>
          </w:tcPr>
          <w:p w14:paraId="1E97E592">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备注</w:t>
            </w:r>
          </w:p>
        </w:tc>
      </w:tr>
      <w:tr w14:paraId="2A99D8B9">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87" w:type="pc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14:paraId="1E12FE15">
            <w:pPr>
              <w:widowControl/>
              <w:numPr>
                <w:ilvl w:val="0"/>
                <w:numId w:val="1"/>
              </w:numPr>
              <w:snapToGrid w:val="0"/>
              <w:ind w:firstLine="600"/>
              <w:jc w:val="right"/>
              <w:rPr>
                <w:rFonts w:hint="eastAsia" w:ascii="楷体" w:hAnsi="楷体" w:eastAsia="楷体" w:cs="楷体"/>
                <w:color w:val="auto"/>
                <w:sz w:val="30"/>
                <w:szCs w:val="30"/>
                <w:lang w:val="zh-CN"/>
              </w:rPr>
            </w:pPr>
          </w:p>
        </w:tc>
        <w:tc>
          <w:tcPr>
            <w:tcW w:w="1099"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9AA34E8">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迟到或早退（一小时内）</w:t>
            </w:r>
          </w:p>
        </w:tc>
        <w:tc>
          <w:tcPr>
            <w:tcW w:w="407"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1BC9AD8">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人次</w:t>
            </w:r>
          </w:p>
        </w:tc>
        <w:tc>
          <w:tcPr>
            <w:tcW w:w="37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B8D4641">
            <w:pPr>
              <w:snapToGrid w:val="0"/>
              <w:rPr>
                <w:rFonts w:hint="eastAsia" w:ascii="楷体" w:hAnsi="楷体" w:eastAsia="楷体" w:cs="楷体"/>
                <w:color w:val="auto"/>
                <w:sz w:val="30"/>
                <w:szCs w:val="30"/>
                <w:lang w:val="zh-CN"/>
              </w:rPr>
            </w:pPr>
          </w:p>
        </w:tc>
        <w:tc>
          <w:tcPr>
            <w:tcW w:w="52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5CD1A22">
            <w:pPr>
              <w:snapToGrid w:val="0"/>
              <w:ind w:left="93" w:leftChars="-107" w:right="-55" w:rightChars="-26" w:hanging="318" w:hangingChars="106"/>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￥50</w:t>
            </w:r>
          </w:p>
        </w:tc>
        <w:tc>
          <w:tcPr>
            <w:tcW w:w="48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8706131">
            <w:pPr>
              <w:snapToGrid w:val="0"/>
              <w:jc w:val="center"/>
              <w:rPr>
                <w:rFonts w:hint="eastAsia" w:ascii="楷体" w:hAnsi="楷体" w:eastAsia="楷体" w:cs="楷体"/>
                <w:color w:val="auto"/>
                <w:sz w:val="30"/>
                <w:szCs w:val="30"/>
                <w:lang w:val="zh-CN"/>
              </w:rPr>
            </w:pPr>
          </w:p>
        </w:tc>
        <w:tc>
          <w:tcPr>
            <w:tcW w:w="1914" w:type="pct"/>
            <w:vMerge w:val="restart"/>
            <w:tcBorders>
              <w:top w:val="single" w:color="auto" w:sz="4" w:space="0"/>
              <w:left w:val="single" w:color="auto" w:sz="4" w:space="0"/>
              <w:bottom w:val="single" w:color="auto" w:sz="4" w:space="0"/>
              <w:right w:val="single" w:color="auto" w:sz="2" w:space="0"/>
            </w:tcBorders>
            <w:tcMar>
              <w:top w:w="0" w:type="dxa"/>
              <w:left w:w="57" w:type="dxa"/>
              <w:bottom w:w="0" w:type="dxa"/>
              <w:right w:w="57" w:type="dxa"/>
            </w:tcMar>
            <w:vAlign w:val="center"/>
          </w:tcPr>
          <w:p w14:paraId="1A4D82A6">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若有一个月（以自然月计算）发生10人次迟到或早退，本季度度考核不及格</w:t>
            </w:r>
          </w:p>
        </w:tc>
      </w:tr>
      <w:tr w14:paraId="5C95AA7C">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87" w:type="pc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14:paraId="6B1BF072">
            <w:pPr>
              <w:widowControl/>
              <w:numPr>
                <w:ilvl w:val="0"/>
                <w:numId w:val="1"/>
              </w:numPr>
              <w:snapToGrid w:val="0"/>
              <w:ind w:firstLine="600"/>
              <w:jc w:val="center"/>
              <w:rPr>
                <w:rFonts w:hint="eastAsia" w:ascii="楷体" w:hAnsi="楷体" w:eastAsia="楷体" w:cs="楷体"/>
                <w:color w:val="auto"/>
                <w:sz w:val="30"/>
                <w:szCs w:val="30"/>
                <w:lang w:val="zh-CN"/>
              </w:rPr>
            </w:pPr>
          </w:p>
        </w:tc>
        <w:tc>
          <w:tcPr>
            <w:tcW w:w="1099"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9E42AF2">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迟到或早退（一小时至两个小时）</w:t>
            </w:r>
          </w:p>
        </w:tc>
        <w:tc>
          <w:tcPr>
            <w:tcW w:w="407"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1503E30">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人次</w:t>
            </w:r>
          </w:p>
        </w:tc>
        <w:tc>
          <w:tcPr>
            <w:tcW w:w="37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E6E7AB8">
            <w:pPr>
              <w:snapToGrid w:val="0"/>
              <w:rPr>
                <w:rFonts w:hint="eastAsia" w:ascii="楷体" w:hAnsi="楷体" w:eastAsia="楷体" w:cs="楷体"/>
                <w:color w:val="auto"/>
                <w:sz w:val="30"/>
                <w:szCs w:val="30"/>
                <w:lang w:val="zh-CN"/>
              </w:rPr>
            </w:pPr>
          </w:p>
        </w:tc>
        <w:tc>
          <w:tcPr>
            <w:tcW w:w="52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F66E965">
            <w:pPr>
              <w:snapToGrid w:val="0"/>
              <w:ind w:left="93" w:leftChars="-107" w:right="-55" w:rightChars="-26" w:hanging="318" w:hangingChars="106"/>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￥100</w:t>
            </w:r>
          </w:p>
        </w:tc>
        <w:tc>
          <w:tcPr>
            <w:tcW w:w="48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A14879B">
            <w:pPr>
              <w:snapToGrid w:val="0"/>
              <w:jc w:val="center"/>
              <w:rPr>
                <w:rFonts w:hint="eastAsia" w:ascii="楷体" w:hAnsi="楷体" w:eastAsia="楷体" w:cs="楷体"/>
                <w:color w:val="auto"/>
                <w:sz w:val="30"/>
                <w:szCs w:val="30"/>
                <w:lang w:val="zh-CN"/>
              </w:rPr>
            </w:pPr>
          </w:p>
        </w:tc>
        <w:tc>
          <w:tcPr>
            <w:tcW w:w="1914" w:type="pct"/>
            <w:vMerge w:val="continue"/>
            <w:tcBorders>
              <w:top w:val="single" w:color="auto" w:sz="4" w:space="0"/>
              <w:left w:val="single" w:color="auto" w:sz="4" w:space="0"/>
              <w:bottom w:val="single" w:color="auto" w:sz="4" w:space="0"/>
              <w:right w:val="single" w:color="auto" w:sz="2" w:space="0"/>
            </w:tcBorders>
            <w:vAlign w:val="center"/>
          </w:tcPr>
          <w:p w14:paraId="10A31CD4">
            <w:pPr>
              <w:widowControl/>
              <w:jc w:val="left"/>
              <w:rPr>
                <w:rFonts w:hint="eastAsia" w:ascii="楷体" w:hAnsi="楷体" w:eastAsia="楷体" w:cs="楷体"/>
                <w:color w:val="auto"/>
                <w:sz w:val="30"/>
                <w:szCs w:val="30"/>
                <w:lang w:val="zh-CN"/>
              </w:rPr>
            </w:pPr>
          </w:p>
        </w:tc>
      </w:tr>
      <w:tr w14:paraId="6A891C62">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87" w:type="pc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14:paraId="74BA3D19">
            <w:pPr>
              <w:widowControl/>
              <w:numPr>
                <w:ilvl w:val="0"/>
                <w:numId w:val="1"/>
              </w:numPr>
              <w:snapToGrid w:val="0"/>
              <w:ind w:firstLine="600"/>
              <w:jc w:val="center"/>
              <w:rPr>
                <w:rFonts w:hint="eastAsia" w:ascii="楷体" w:hAnsi="楷体" w:eastAsia="楷体" w:cs="楷体"/>
                <w:color w:val="auto"/>
                <w:sz w:val="30"/>
                <w:szCs w:val="30"/>
                <w:lang w:val="zh-CN"/>
              </w:rPr>
            </w:pPr>
          </w:p>
        </w:tc>
        <w:tc>
          <w:tcPr>
            <w:tcW w:w="1099"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7C6D10F">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旷工一个早上或一个下午</w:t>
            </w:r>
          </w:p>
        </w:tc>
        <w:tc>
          <w:tcPr>
            <w:tcW w:w="407"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14EF25C">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人次</w:t>
            </w:r>
          </w:p>
        </w:tc>
        <w:tc>
          <w:tcPr>
            <w:tcW w:w="37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CB478F5">
            <w:pPr>
              <w:snapToGrid w:val="0"/>
              <w:rPr>
                <w:rFonts w:hint="eastAsia" w:ascii="楷体" w:hAnsi="楷体" w:eastAsia="楷体" w:cs="楷体"/>
                <w:color w:val="auto"/>
                <w:sz w:val="30"/>
                <w:szCs w:val="30"/>
                <w:lang w:val="zh-CN"/>
              </w:rPr>
            </w:pPr>
          </w:p>
        </w:tc>
        <w:tc>
          <w:tcPr>
            <w:tcW w:w="52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291180F">
            <w:pPr>
              <w:snapToGrid w:val="0"/>
              <w:ind w:left="93" w:leftChars="-107" w:right="-55" w:rightChars="-26" w:hanging="318" w:hangingChars="106"/>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￥200</w:t>
            </w:r>
          </w:p>
        </w:tc>
        <w:tc>
          <w:tcPr>
            <w:tcW w:w="48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354D51D">
            <w:pPr>
              <w:snapToGrid w:val="0"/>
              <w:jc w:val="center"/>
              <w:rPr>
                <w:rFonts w:hint="eastAsia" w:ascii="楷体" w:hAnsi="楷体" w:eastAsia="楷体" w:cs="楷体"/>
                <w:color w:val="auto"/>
                <w:sz w:val="30"/>
                <w:szCs w:val="30"/>
                <w:lang w:val="zh-CN"/>
              </w:rPr>
            </w:pPr>
          </w:p>
        </w:tc>
        <w:tc>
          <w:tcPr>
            <w:tcW w:w="1914" w:type="pct"/>
            <w:tcBorders>
              <w:top w:val="single" w:color="auto" w:sz="4" w:space="0"/>
              <w:left w:val="single" w:color="auto" w:sz="4" w:space="0"/>
              <w:bottom w:val="single" w:color="auto" w:sz="4" w:space="0"/>
              <w:right w:val="single" w:color="auto" w:sz="2" w:space="0"/>
            </w:tcBorders>
            <w:tcMar>
              <w:top w:w="0" w:type="dxa"/>
              <w:left w:w="57" w:type="dxa"/>
              <w:bottom w:w="0" w:type="dxa"/>
              <w:right w:w="57" w:type="dxa"/>
            </w:tcMar>
          </w:tcPr>
          <w:p w14:paraId="08806EF6">
            <w:pPr>
              <w:widowControl/>
              <w:numPr>
                <w:ilvl w:val="0"/>
                <w:numId w:val="2"/>
              </w:numPr>
              <w:snapToGrid w:val="0"/>
              <w:ind w:left="225" w:firstLine="600"/>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迟到或早退两个小时以上，当旷工一个早上或一个下午处理；</w:t>
            </w:r>
          </w:p>
          <w:p w14:paraId="422D9A66">
            <w:pPr>
              <w:widowControl/>
              <w:numPr>
                <w:ilvl w:val="0"/>
                <w:numId w:val="2"/>
              </w:numPr>
              <w:snapToGrid w:val="0"/>
              <w:ind w:left="225" w:firstLine="600"/>
              <w:jc w:val="left"/>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若有一个月（以自然月计算）发生5人次旷工，本季度考核不及格</w:t>
            </w:r>
          </w:p>
        </w:tc>
      </w:tr>
      <w:tr w14:paraId="1AC8E43B">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87" w:type="pc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14:paraId="2912D9EF">
            <w:pPr>
              <w:widowControl/>
              <w:numPr>
                <w:ilvl w:val="0"/>
                <w:numId w:val="1"/>
              </w:numPr>
              <w:snapToGrid w:val="0"/>
              <w:ind w:firstLine="600"/>
              <w:jc w:val="center"/>
              <w:rPr>
                <w:rFonts w:hint="eastAsia" w:ascii="楷体" w:hAnsi="楷体" w:eastAsia="楷体" w:cs="楷体"/>
                <w:color w:val="auto"/>
                <w:sz w:val="30"/>
                <w:szCs w:val="30"/>
                <w:lang w:val="zh-CN"/>
              </w:rPr>
            </w:pPr>
          </w:p>
        </w:tc>
        <w:tc>
          <w:tcPr>
            <w:tcW w:w="1099"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33F62BD">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投诉查实</w:t>
            </w:r>
          </w:p>
        </w:tc>
        <w:tc>
          <w:tcPr>
            <w:tcW w:w="407"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1BBE05A">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次</w:t>
            </w:r>
          </w:p>
        </w:tc>
        <w:tc>
          <w:tcPr>
            <w:tcW w:w="37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tcPr>
          <w:p w14:paraId="5F9AA18E">
            <w:pPr>
              <w:snapToGrid w:val="0"/>
              <w:rPr>
                <w:rFonts w:hint="eastAsia" w:ascii="楷体" w:hAnsi="楷体" w:eastAsia="楷体" w:cs="楷体"/>
                <w:color w:val="auto"/>
                <w:sz w:val="30"/>
                <w:szCs w:val="30"/>
                <w:lang w:val="zh-CN"/>
              </w:rPr>
            </w:pPr>
          </w:p>
        </w:tc>
        <w:tc>
          <w:tcPr>
            <w:tcW w:w="52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A349BA7">
            <w:pPr>
              <w:snapToGrid w:val="0"/>
              <w:ind w:left="93" w:leftChars="-107" w:right="-55" w:rightChars="-26" w:hanging="318" w:hangingChars="106"/>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￥300</w:t>
            </w:r>
          </w:p>
        </w:tc>
        <w:tc>
          <w:tcPr>
            <w:tcW w:w="48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F44320E">
            <w:pPr>
              <w:snapToGrid w:val="0"/>
              <w:jc w:val="center"/>
              <w:rPr>
                <w:rFonts w:hint="eastAsia" w:ascii="楷体" w:hAnsi="楷体" w:eastAsia="楷体" w:cs="楷体"/>
                <w:color w:val="auto"/>
                <w:sz w:val="30"/>
                <w:szCs w:val="30"/>
                <w:lang w:val="zh-CN"/>
              </w:rPr>
            </w:pPr>
          </w:p>
        </w:tc>
        <w:tc>
          <w:tcPr>
            <w:tcW w:w="1914" w:type="pct"/>
            <w:tcBorders>
              <w:top w:val="single" w:color="auto" w:sz="4" w:space="0"/>
              <w:left w:val="single" w:color="auto" w:sz="4" w:space="0"/>
              <w:bottom w:val="single" w:color="auto" w:sz="4" w:space="0"/>
              <w:right w:val="single" w:color="auto" w:sz="2" w:space="0"/>
            </w:tcBorders>
            <w:tcMar>
              <w:top w:w="0" w:type="dxa"/>
              <w:left w:w="57" w:type="dxa"/>
              <w:bottom w:w="0" w:type="dxa"/>
              <w:right w:w="57" w:type="dxa"/>
            </w:tcMar>
          </w:tcPr>
          <w:p w14:paraId="56411B80">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rPr>
              <w:t>季度</w:t>
            </w:r>
            <w:r>
              <w:rPr>
                <w:rFonts w:hint="eastAsia" w:ascii="楷体" w:hAnsi="楷体" w:eastAsia="楷体" w:cs="楷体"/>
                <w:color w:val="auto"/>
                <w:sz w:val="30"/>
                <w:szCs w:val="30"/>
                <w:lang w:val="zh-CN"/>
              </w:rPr>
              <w:t>内若有10次或以上投诉被查实，本</w:t>
            </w:r>
            <w:r>
              <w:rPr>
                <w:rFonts w:hint="eastAsia" w:ascii="楷体" w:hAnsi="楷体" w:eastAsia="楷体" w:cs="楷体"/>
                <w:color w:val="auto"/>
                <w:sz w:val="30"/>
                <w:szCs w:val="30"/>
              </w:rPr>
              <w:t>季度度</w:t>
            </w:r>
            <w:r>
              <w:rPr>
                <w:rFonts w:hint="eastAsia" w:ascii="楷体" w:hAnsi="楷体" w:eastAsia="楷体" w:cs="楷体"/>
                <w:color w:val="auto"/>
                <w:sz w:val="30"/>
                <w:szCs w:val="30"/>
                <w:lang w:val="zh-CN"/>
              </w:rPr>
              <w:t>考核不及格</w:t>
            </w:r>
          </w:p>
        </w:tc>
      </w:tr>
      <w:tr w14:paraId="5D41D325">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87" w:type="pc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14:paraId="27E86009">
            <w:pPr>
              <w:widowControl/>
              <w:numPr>
                <w:ilvl w:val="0"/>
                <w:numId w:val="1"/>
              </w:numPr>
              <w:snapToGrid w:val="0"/>
              <w:ind w:firstLine="600"/>
              <w:jc w:val="center"/>
              <w:rPr>
                <w:rFonts w:hint="eastAsia" w:ascii="楷体" w:hAnsi="楷体" w:eastAsia="楷体" w:cs="楷体"/>
                <w:color w:val="auto"/>
                <w:sz w:val="30"/>
                <w:szCs w:val="30"/>
                <w:lang w:val="zh-CN"/>
              </w:rPr>
            </w:pPr>
          </w:p>
        </w:tc>
        <w:tc>
          <w:tcPr>
            <w:tcW w:w="1099"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8B90061">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应急响应报障后2小时未抵达现场</w:t>
            </w:r>
          </w:p>
        </w:tc>
        <w:tc>
          <w:tcPr>
            <w:tcW w:w="407"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C504B2E">
            <w:pPr>
              <w:snapToGrid w:val="0"/>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次</w:t>
            </w:r>
          </w:p>
        </w:tc>
        <w:tc>
          <w:tcPr>
            <w:tcW w:w="37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tcPr>
          <w:p w14:paraId="7F60D130">
            <w:pPr>
              <w:snapToGrid w:val="0"/>
              <w:rPr>
                <w:rFonts w:hint="eastAsia" w:ascii="楷体" w:hAnsi="楷体" w:eastAsia="楷体" w:cs="楷体"/>
                <w:color w:val="auto"/>
                <w:sz w:val="30"/>
                <w:szCs w:val="30"/>
                <w:lang w:val="zh-CN"/>
              </w:rPr>
            </w:pPr>
          </w:p>
        </w:tc>
        <w:tc>
          <w:tcPr>
            <w:tcW w:w="526"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0462875">
            <w:pPr>
              <w:snapToGrid w:val="0"/>
              <w:ind w:left="93" w:leftChars="-107" w:right="-55" w:rightChars="-26" w:hanging="318" w:hangingChars="106"/>
              <w:jc w:val="center"/>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￥300</w:t>
            </w:r>
          </w:p>
        </w:tc>
        <w:tc>
          <w:tcPr>
            <w:tcW w:w="48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E8ADA75">
            <w:pPr>
              <w:snapToGrid w:val="0"/>
              <w:jc w:val="center"/>
              <w:rPr>
                <w:rFonts w:hint="eastAsia" w:ascii="楷体" w:hAnsi="楷体" w:eastAsia="楷体" w:cs="楷体"/>
                <w:color w:val="auto"/>
                <w:sz w:val="30"/>
                <w:szCs w:val="30"/>
                <w:lang w:val="zh-CN"/>
              </w:rPr>
            </w:pPr>
          </w:p>
        </w:tc>
        <w:tc>
          <w:tcPr>
            <w:tcW w:w="1914" w:type="pct"/>
            <w:tcBorders>
              <w:top w:val="single" w:color="auto" w:sz="4" w:space="0"/>
              <w:left w:val="single" w:color="auto" w:sz="4" w:space="0"/>
              <w:bottom w:val="single" w:color="auto" w:sz="4" w:space="0"/>
              <w:right w:val="single" w:color="auto" w:sz="2" w:space="0"/>
            </w:tcBorders>
            <w:tcMar>
              <w:top w:w="0" w:type="dxa"/>
              <w:left w:w="57" w:type="dxa"/>
              <w:bottom w:w="0" w:type="dxa"/>
              <w:right w:w="57" w:type="dxa"/>
            </w:tcMar>
          </w:tcPr>
          <w:p w14:paraId="0FEB9F10">
            <w:pPr>
              <w:snapToGrid w:val="0"/>
              <w:rPr>
                <w:rFonts w:hint="eastAsia" w:ascii="楷体" w:hAnsi="楷体" w:eastAsia="楷体" w:cs="楷体"/>
                <w:color w:val="auto"/>
                <w:sz w:val="30"/>
                <w:szCs w:val="30"/>
                <w:lang w:val="zh-CN"/>
              </w:rPr>
            </w:pPr>
          </w:p>
        </w:tc>
      </w:tr>
      <w:tr w14:paraId="230AEA5E">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87" w:type="pct"/>
            <w:tcBorders>
              <w:top w:val="single" w:color="auto" w:sz="4" w:space="0"/>
              <w:left w:val="single" w:color="auto" w:sz="2" w:space="0"/>
              <w:bottom w:val="single" w:color="auto" w:sz="2" w:space="0"/>
              <w:right w:val="single" w:color="auto" w:sz="4" w:space="0"/>
            </w:tcBorders>
            <w:tcMar>
              <w:top w:w="0" w:type="dxa"/>
              <w:left w:w="57" w:type="dxa"/>
              <w:bottom w:w="0" w:type="dxa"/>
              <w:right w:w="57" w:type="dxa"/>
            </w:tcMar>
            <w:vAlign w:val="center"/>
          </w:tcPr>
          <w:p w14:paraId="414E2455">
            <w:pPr>
              <w:widowControl/>
              <w:numPr>
                <w:ilvl w:val="0"/>
                <w:numId w:val="1"/>
              </w:numPr>
              <w:snapToGrid w:val="0"/>
              <w:ind w:firstLine="600"/>
              <w:jc w:val="center"/>
              <w:rPr>
                <w:rFonts w:hint="eastAsia" w:ascii="楷体" w:hAnsi="楷体" w:eastAsia="楷体" w:cs="楷体"/>
                <w:color w:val="auto"/>
                <w:sz w:val="30"/>
                <w:szCs w:val="30"/>
                <w:lang w:val="zh-CN"/>
              </w:rPr>
            </w:pPr>
          </w:p>
        </w:tc>
        <w:tc>
          <w:tcPr>
            <w:tcW w:w="1099" w:type="pct"/>
            <w:tcBorders>
              <w:top w:val="single" w:color="auto" w:sz="4" w:space="0"/>
              <w:left w:val="single" w:color="auto" w:sz="4" w:space="0"/>
              <w:bottom w:val="single" w:color="auto" w:sz="2" w:space="0"/>
              <w:right w:val="single" w:color="auto" w:sz="4" w:space="0"/>
            </w:tcBorders>
            <w:tcMar>
              <w:top w:w="0" w:type="dxa"/>
              <w:left w:w="57" w:type="dxa"/>
              <w:bottom w:w="0" w:type="dxa"/>
              <w:right w:w="57" w:type="dxa"/>
            </w:tcMar>
            <w:vAlign w:val="center"/>
          </w:tcPr>
          <w:p w14:paraId="6DD4AE50">
            <w:pPr>
              <w:snapToGrid w:val="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合计</w:t>
            </w:r>
          </w:p>
        </w:tc>
        <w:tc>
          <w:tcPr>
            <w:tcW w:w="407" w:type="pct"/>
            <w:tcBorders>
              <w:top w:val="single" w:color="auto" w:sz="4" w:space="0"/>
              <w:left w:val="single" w:color="auto" w:sz="4" w:space="0"/>
              <w:bottom w:val="single" w:color="auto" w:sz="2" w:space="0"/>
              <w:right w:val="single" w:color="auto" w:sz="4" w:space="0"/>
            </w:tcBorders>
            <w:tcMar>
              <w:top w:w="0" w:type="dxa"/>
              <w:left w:w="57" w:type="dxa"/>
              <w:bottom w:w="0" w:type="dxa"/>
              <w:right w:w="57" w:type="dxa"/>
            </w:tcMar>
          </w:tcPr>
          <w:p w14:paraId="13302050">
            <w:pPr>
              <w:snapToGrid w:val="0"/>
              <w:rPr>
                <w:rFonts w:hint="eastAsia" w:ascii="楷体" w:hAnsi="楷体" w:eastAsia="楷体" w:cs="楷体"/>
                <w:color w:val="auto"/>
                <w:sz w:val="30"/>
                <w:szCs w:val="30"/>
                <w:lang w:val="zh-CN"/>
              </w:rPr>
            </w:pPr>
          </w:p>
        </w:tc>
        <w:tc>
          <w:tcPr>
            <w:tcW w:w="376" w:type="pct"/>
            <w:tcBorders>
              <w:top w:val="single" w:color="auto" w:sz="4" w:space="0"/>
              <w:left w:val="single" w:color="auto" w:sz="4" w:space="0"/>
              <w:bottom w:val="single" w:color="auto" w:sz="2" w:space="0"/>
              <w:right w:val="single" w:color="auto" w:sz="4" w:space="0"/>
            </w:tcBorders>
            <w:tcMar>
              <w:top w:w="0" w:type="dxa"/>
              <w:left w:w="57" w:type="dxa"/>
              <w:bottom w:w="0" w:type="dxa"/>
              <w:right w:w="57" w:type="dxa"/>
            </w:tcMar>
          </w:tcPr>
          <w:p w14:paraId="38544A3F">
            <w:pPr>
              <w:snapToGrid w:val="0"/>
              <w:rPr>
                <w:rFonts w:hint="eastAsia" w:ascii="楷体" w:hAnsi="楷体" w:eastAsia="楷体" w:cs="楷体"/>
                <w:color w:val="auto"/>
                <w:sz w:val="30"/>
                <w:szCs w:val="30"/>
                <w:lang w:val="zh-CN"/>
              </w:rPr>
            </w:pPr>
          </w:p>
        </w:tc>
        <w:tc>
          <w:tcPr>
            <w:tcW w:w="526" w:type="pct"/>
            <w:tcBorders>
              <w:top w:val="single" w:color="auto" w:sz="4" w:space="0"/>
              <w:left w:val="single" w:color="auto" w:sz="4" w:space="0"/>
              <w:bottom w:val="single" w:color="auto" w:sz="2" w:space="0"/>
              <w:right w:val="single" w:color="auto" w:sz="4" w:space="0"/>
            </w:tcBorders>
            <w:tcMar>
              <w:top w:w="0" w:type="dxa"/>
              <w:left w:w="57" w:type="dxa"/>
              <w:bottom w:w="0" w:type="dxa"/>
              <w:right w:w="57" w:type="dxa"/>
            </w:tcMar>
            <w:vAlign w:val="center"/>
          </w:tcPr>
          <w:p w14:paraId="14B11AAC">
            <w:pPr>
              <w:snapToGrid w:val="0"/>
              <w:rPr>
                <w:rFonts w:hint="eastAsia" w:ascii="楷体" w:hAnsi="楷体" w:eastAsia="楷体" w:cs="楷体"/>
                <w:color w:val="auto"/>
                <w:sz w:val="30"/>
                <w:szCs w:val="30"/>
                <w:lang w:val="zh-CN"/>
              </w:rPr>
            </w:pPr>
          </w:p>
        </w:tc>
        <w:tc>
          <w:tcPr>
            <w:tcW w:w="488" w:type="pct"/>
            <w:tcBorders>
              <w:top w:val="single" w:color="auto" w:sz="4" w:space="0"/>
              <w:left w:val="single" w:color="auto" w:sz="4" w:space="0"/>
              <w:bottom w:val="single" w:color="auto" w:sz="2" w:space="0"/>
              <w:right w:val="single" w:color="auto" w:sz="4" w:space="0"/>
            </w:tcBorders>
            <w:tcMar>
              <w:top w:w="0" w:type="dxa"/>
              <w:left w:w="57" w:type="dxa"/>
              <w:bottom w:w="0" w:type="dxa"/>
              <w:right w:w="57" w:type="dxa"/>
            </w:tcMar>
            <w:vAlign w:val="center"/>
          </w:tcPr>
          <w:p w14:paraId="6958EC68">
            <w:pPr>
              <w:snapToGrid w:val="0"/>
              <w:jc w:val="center"/>
              <w:rPr>
                <w:rFonts w:hint="eastAsia" w:ascii="楷体" w:hAnsi="楷体" w:eastAsia="楷体" w:cs="楷体"/>
                <w:color w:val="auto"/>
                <w:sz w:val="30"/>
                <w:szCs w:val="30"/>
                <w:lang w:val="zh-CN"/>
              </w:rPr>
            </w:pPr>
          </w:p>
        </w:tc>
        <w:tc>
          <w:tcPr>
            <w:tcW w:w="1914" w:type="pct"/>
            <w:tcBorders>
              <w:top w:val="single" w:color="auto" w:sz="4" w:space="0"/>
              <w:left w:val="single" w:color="auto" w:sz="4" w:space="0"/>
              <w:bottom w:val="single" w:color="auto" w:sz="2" w:space="0"/>
              <w:right w:val="single" w:color="auto" w:sz="2" w:space="0"/>
            </w:tcBorders>
            <w:tcMar>
              <w:top w:w="0" w:type="dxa"/>
              <w:left w:w="57" w:type="dxa"/>
              <w:bottom w:w="0" w:type="dxa"/>
              <w:right w:w="57" w:type="dxa"/>
            </w:tcMar>
          </w:tcPr>
          <w:p w14:paraId="13724D44">
            <w:pPr>
              <w:snapToGrid w:val="0"/>
              <w:rPr>
                <w:rFonts w:hint="eastAsia" w:ascii="楷体" w:hAnsi="楷体" w:eastAsia="楷体" w:cs="楷体"/>
                <w:color w:val="auto"/>
                <w:sz w:val="30"/>
                <w:szCs w:val="30"/>
                <w:lang w:val="zh-CN"/>
              </w:rPr>
            </w:pPr>
          </w:p>
        </w:tc>
      </w:tr>
    </w:tbl>
    <w:p w14:paraId="74CDE89E">
      <w:pPr>
        <w:pStyle w:val="9"/>
        <w:numPr>
          <w:ilvl w:val="0"/>
          <w:numId w:val="0"/>
        </w:numPr>
        <w:tabs>
          <w:tab w:val="left" w:pos="540"/>
        </w:tabs>
        <w:snapToGrid w:val="0"/>
        <w:spacing w:before="156" w:beforeLines="50" w:line="360" w:lineRule="auto"/>
        <w:rPr>
          <w:rFonts w:hint="eastAsia" w:ascii="楷体" w:hAnsi="楷体" w:eastAsia="楷体" w:cs="楷体"/>
          <w:b/>
          <w:color w:val="auto"/>
          <w:sz w:val="30"/>
          <w:szCs w:val="30"/>
          <w:lang w:val="zh-CN" w:eastAsia="zh-TW"/>
        </w:rPr>
      </w:pPr>
      <w:r>
        <w:rPr>
          <w:rFonts w:hint="eastAsia" w:ascii="宋体" w:hAnsi="宋体" w:eastAsia="宋体" w:cs="Courier New"/>
          <w:b/>
          <w:color w:val="auto"/>
          <w:kern w:val="0"/>
          <w:sz w:val="30"/>
          <w:szCs w:val="30"/>
          <w:lang w:val="zh-CN" w:eastAsia="zh-TW" w:bidi="ar-SA"/>
        </w:rPr>
        <w:t>四、</w:t>
      </w:r>
      <w:r>
        <w:rPr>
          <w:rFonts w:hint="eastAsia" w:ascii="楷体" w:hAnsi="楷体" w:eastAsia="楷体" w:cs="楷体"/>
          <w:b/>
          <w:color w:val="auto"/>
          <w:sz w:val="30"/>
          <w:szCs w:val="30"/>
          <w:lang w:val="zh-CN"/>
        </w:rPr>
        <w:t>商务要求</w:t>
      </w:r>
    </w:p>
    <w:p w14:paraId="1A61F8C0">
      <w:pPr>
        <w:pStyle w:val="64"/>
        <w:numPr>
          <w:ilvl w:val="0"/>
          <w:numId w:val="3"/>
        </w:numPr>
        <w:autoSpaceDE/>
        <w:spacing w:line="360" w:lineRule="auto"/>
        <w:ind w:firstLineChars="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报价要求：</w:t>
      </w:r>
      <w:r>
        <w:rPr>
          <w:rFonts w:hint="eastAsia" w:ascii="楷体" w:hAnsi="楷体" w:eastAsia="楷体" w:cs="楷体"/>
          <w:color w:val="auto"/>
          <w:sz w:val="30"/>
          <w:szCs w:val="30"/>
        </w:rPr>
        <w:t>投标</w:t>
      </w:r>
      <w:r>
        <w:rPr>
          <w:rFonts w:hint="eastAsia" w:ascii="楷体" w:hAnsi="楷体" w:eastAsia="楷体" w:cs="楷体"/>
          <w:color w:val="auto"/>
          <w:sz w:val="30"/>
          <w:szCs w:val="30"/>
          <w:lang w:val="zh-CN"/>
        </w:rPr>
        <w:t>报价应为响应人完成本项目全部内容所需费用的含税价（包括但不限于人工、保险、伴随服务、拟投入工具及材料、各类税费或未注明报价的内容以及采购合同包含的所有风险、责任等各项应有费用）。</w:t>
      </w:r>
    </w:p>
    <w:p w14:paraId="3B90A143">
      <w:pPr>
        <w:pStyle w:val="64"/>
        <w:numPr>
          <w:ilvl w:val="0"/>
          <w:numId w:val="3"/>
        </w:numPr>
        <w:autoSpaceDE/>
        <w:spacing w:line="360" w:lineRule="auto"/>
        <w:ind w:firstLineChars="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服务期为自合同生效之日起</w:t>
      </w:r>
      <w:r>
        <w:rPr>
          <w:rFonts w:hint="eastAsia" w:ascii="楷体" w:hAnsi="楷体" w:eastAsia="楷体" w:cs="楷体"/>
          <w:color w:val="auto"/>
          <w:sz w:val="30"/>
          <w:szCs w:val="30"/>
        </w:rPr>
        <w:t>一年</w:t>
      </w:r>
      <w:r>
        <w:rPr>
          <w:rFonts w:hint="eastAsia" w:ascii="楷体" w:hAnsi="楷体" w:eastAsia="楷体" w:cs="楷体"/>
          <w:color w:val="auto"/>
          <w:sz w:val="30"/>
          <w:szCs w:val="30"/>
          <w:lang w:val="zh-CN"/>
        </w:rPr>
        <w:t>。合同期间，若出现单方要求终止合约时，必须提前两个月向另一方书面提出, 另一方无异议后合同终止，保养费按终止日实际服务月数计算。</w:t>
      </w:r>
    </w:p>
    <w:p w14:paraId="36875411">
      <w:pPr>
        <w:pStyle w:val="64"/>
        <w:numPr>
          <w:ilvl w:val="0"/>
          <w:numId w:val="3"/>
        </w:numPr>
        <w:autoSpaceDE/>
        <w:spacing w:line="360" w:lineRule="auto"/>
        <w:ind w:firstLineChars="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付款方式：</w:t>
      </w:r>
    </w:p>
    <w:p w14:paraId="00B0EA05">
      <w:pPr>
        <w:pStyle w:val="64"/>
        <w:numPr>
          <w:ilvl w:val="0"/>
          <w:numId w:val="4"/>
        </w:numPr>
        <w:autoSpaceDE/>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按先服务后付款方式。维保合同的款项分</w:t>
      </w:r>
      <w:r>
        <w:rPr>
          <w:rFonts w:hint="eastAsia" w:ascii="楷体" w:hAnsi="楷体" w:eastAsia="楷体" w:cs="楷体"/>
          <w:color w:val="auto"/>
          <w:sz w:val="30"/>
          <w:szCs w:val="30"/>
        </w:rPr>
        <w:t>两</w:t>
      </w:r>
      <w:r>
        <w:rPr>
          <w:rFonts w:hint="eastAsia" w:ascii="楷体" w:hAnsi="楷体" w:eastAsia="楷体" w:cs="楷体"/>
          <w:color w:val="auto"/>
          <w:sz w:val="30"/>
          <w:szCs w:val="30"/>
          <w:lang w:val="zh-CN"/>
        </w:rPr>
        <w:t>次等额支付，每</w:t>
      </w:r>
      <w:r>
        <w:rPr>
          <w:rFonts w:ascii="楷体" w:hAnsi="楷体" w:eastAsia="楷体" w:cs="楷体"/>
          <w:color w:val="auto"/>
          <w:sz w:val="30"/>
          <w:szCs w:val="30"/>
        </w:rPr>
        <w:t>3</w:t>
      </w:r>
      <w:r>
        <w:rPr>
          <w:rFonts w:hint="eastAsia" w:ascii="楷体" w:hAnsi="楷体" w:eastAsia="楷体" w:cs="楷体"/>
          <w:color w:val="auto"/>
          <w:sz w:val="30"/>
          <w:szCs w:val="30"/>
          <w:lang w:val="zh-CN"/>
        </w:rPr>
        <w:t>个月（下称每</w:t>
      </w:r>
      <w:r>
        <w:rPr>
          <w:rFonts w:hint="eastAsia" w:ascii="楷体" w:hAnsi="楷体" w:eastAsia="楷体" w:cs="楷体"/>
          <w:color w:val="auto"/>
          <w:sz w:val="30"/>
          <w:szCs w:val="30"/>
        </w:rPr>
        <w:t>季度</w:t>
      </w:r>
      <w:r>
        <w:rPr>
          <w:rFonts w:hint="eastAsia" w:ascii="楷体" w:hAnsi="楷体" w:eastAsia="楷体" w:cs="楷体"/>
          <w:color w:val="auto"/>
          <w:sz w:val="30"/>
          <w:szCs w:val="30"/>
          <w:lang w:val="zh-CN"/>
        </w:rPr>
        <w:t>）支付合同金额的</w:t>
      </w:r>
      <w:r>
        <w:rPr>
          <w:rFonts w:hint="eastAsia" w:ascii="楷体" w:hAnsi="楷体" w:eastAsia="楷体" w:cs="楷体"/>
          <w:color w:val="auto"/>
          <w:sz w:val="30"/>
          <w:szCs w:val="30"/>
        </w:rPr>
        <w:t>四</w:t>
      </w:r>
      <w:r>
        <w:rPr>
          <w:rFonts w:hint="eastAsia" w:ascii="楷体" w:hAnsi="楷体" w:eastAsia="楷体" w:cs="楷体"/>
          <w:color w:val="auto"/>
          <w:sz w:val="30"/>
          <w:szCs w:val="30"/>
          <w:lang w:val="zh-CN"/>
        </w:rPr>
        <w:t>分之一，采购人在收到中标人等额发票以及每季度小结报告后</w:t>
      </w:r>
      <w:r>
        <w:rPr>
          <w:rFonts w:hint="eastAsia" w:ascii="楷体" w:hAnsi="楷体" w:eastAsia="楷体" w:cs="楷体"/>
          <w:color w:val="auto"/>
          <w:sz w:val="30"/>
          <w:szCs w:val="30"/>
        </w:rPr>
        <w:t>3</w:t>
      </w:r>
      <w:r>
        <w:rPr>
          <w:rFonts w:hint="eastAsia" w:ascii="楷体" w:hAnsi="楷体" w:eastAsia="楷体" w:cs="楷体"/>
          <w:color w:val="auto"/>
          <w:sz w:val="30"/>
          <w:szCs w:val="30"/>
          <w:lang w:val="zh-CN"/>
        </w:rPr>
        <w:t>0天内支付。中标人延迟开具发票的，采购人付款日顺延。</w:t>
      </w:r>
    </w:p>
    <w:p w14:paraId="1E0E6D21">
      <w:pPr>
        <w:pStyle w:val="64"/>
        <w:numPr>
          <w:ilvl w:val="0"/>
          <w:numId w:val="4"/>
        </w:numPr>
        <w:autoSpaceDE/>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在每季度度服务结束前10个工作日内，采购人对中标人的服务质量进行包括但不限于满意度调查等考核，考核分数在85分以上为及格（服务对象部门（临床、行政后勤部门）占60分，服务管理部门（智慧医院建设部）占40分）。考核及格由采购人智慧医院建设部出具证明。</w:t>
      </w:r>
    </w:p>
    <w:p w14:paraId="2A7D3E04">
      <w:pPr>
        <w:pStyle w:val="64"/>
        <w:numPr>
          <w:ilvl w:val="0"/>
          <w:numId w:val="4"/>
        </w:numPr>
        <w:autoSpaceDE/>
        <w:spacing w:line="360" w:lineRule="auto"/>
        <w:ind w:firstLine="6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对于不及格的季度度考核，由中标人做出补救措施，直到考核及格才进行上述的付款流程。中标人每季度付款前应向采购人提供一份纸质版加盖公章的</w:t>
      </w:r>
      <w:r>
        <w:rPr>
          <w:rFonts w:hint="eastAsia" w:ascii="楷体" w:hAnsi="楷体" w:eastAsia="楷体" w:cs="楷体"/>
          <w:color w:val="auto"/>
          <w:sz w:val="30"/>
          <w:szCs w:val="30"/>
        </w:rPr>
        <w:t>季度度</w:t>
      </w:r>
      <w:r>
        <w:rPr>
          <w:rFonts w:hint="eastAsia" w:ascii="楷体" w:hAnsi="楷体" w:eastAsia="楷体" w:cs="楷体"/>
          <w:color w:val="auto"/>
          <w:sz w:val="30"/>
          <w:szCs w:val="30"/>
          <w:lang w:val="zh-CN"/>
        </w:rPr>
        <w:t>小结报告作为支付条件，内容包括但不限于工作量总结、满意度总结、工作分析整改报告、驻场员工专业培训记录、考勤情况表等。</w:t>
      </w:r>
    </w:p>
    <w:p w14:paraId="21C0F92F">
      <w:pPr>
        <w:pStyle w:val="64"/>
        <w:numPr>
          <w:ilvl w:val="0"/>
          <w:numId w:val="4"/>
        </w:numPr>
        <w:autoSpaceDE/>
        <w:spacing w:line="360" w:lineRule="auto"/>
        <w:ind w:firstLine="600"/>
        <w:rPr>
          <w:rFonts w:hint="eastAsia" w:ascii="楷体" w:hAnsi="楷体" w:eastAsia="楷体" w:cs="楷体"/>
          <w:color w:val="auto"/>
          <w:sz w:val="30"/>
          <w:szCs w:val="30"/>
        </w:rPr>
      </w:pPr>
      <w:r>
        <w:rPr>
          <w:rFonts w:hint="eastAsia" w:ascii="楷体" w:hAnsi="楷体" w:eastAsia="楷体" w:cs="楷体"/>
          <w:color w:val="auto"/>
          <w:sz w:val="30"/>
          <w:szCs w:val="30"/>
          <w:lang w:val="zh-CN"/>
        </w:rPr>
        <w:t>协议期内，若中标人有依本协议约定须扣减服务费的违约行为的，采购人有权从应付服务费中扣减相应服务费用后再予支付。</w:t>
      </w:r>
    </w:p>
    <w:p w14:paraId="0324341E">
      <w:pPr>
        <w:pStyle w:val="64"/>
        <w:numPr>
          <w:ilvl w:val="0"/>
          <w:numId w:val="4"/>
        </w:numPr>
        <w:autoSpaceDE/>
        <w:spacing w:line="360" w:lineRule="auto"/>
        <w:ind w:firstLine="602"/>
        <w:rPr>
          <w:rFonts w:hint="eastAsia" w:ascii="楷体" w:hAnsi="楷体" w:eastAsia="楷体" w:cs="楷体"/>
          <w:color w:val="auto"/>
          <w:sz w:val="30"/>
          <w:szCs w:val="30"/>
        </w:rPr>
      </w:pPr>
      <w:r>
        <w:rPr>
          <w:rFonts w:hint="eastAsia" w:ascii="楷体" w:hAnsi="楷体" w:eastAsia="楷体" w:cs="楷体"/>
          <w:b/>
          <w:bCs/>
          <w:color w:val="auto"/>
          <w:sz w:val="30"/>
          <w:szCs w:val="30"/>
        </w:rPr>
        <w:t>因财政国库资金支付程序不同于上述支付方式的，按最终用户与中标人协商后的实际支付方式为准。</w:t>
      </w:r>
    </w:p>
    <w:p w14:paraId="1EF008ED">
      <w:pPr>
        <w:pStyle w:val="64"/>
        <w:numPr>
          <w:ilvl w:val="0"/>
          <w:numId w:val="3"/>
        </w:numPr>
        <w:spacing w:line="360" w:lineRule="auto"/>
        <w:ind w:firstLineChars="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同意采购方以任何形式对我方响应文件内容及采购方认为有必要的相关资料的真实性和有效性进行审查、验证。</w:t>
      </w:r>
    </w:p>
    <w:p w14:paraId="799339C3">
      <w:pPr>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注：除另有说明外，上述条款有要求证明材料的，提供复印件即可；响应人提供虚假材料谋取中标、成交的，属于违法行为，将报监管部门依法处理。</w:t>
      </w:r>
    </w:p>
    <w:p w14:paraId="201BD5E1">
      <w:pPr>
        <w:pStyle w:val="32"/>
        <w:snapToGrid w:val="0"/>
        <w:spacing w:line="360" w:lineRule="auto"/>
        <w:ind w:firstLine="0" w:firstLineChars="0"/>
        <w:rPr>
          <w:rFonts w:hint="eastAsia" w:ascii="楷体" w:hAnsi="楷体" w:eastAsia="楷体" w:cs="楷体"/>
          <w:color w:val="auto"/>
          <w:sz w:val="30"/>
          <w:szCs w:val="30"/>
          <w:lang w:val="zh-CN"/>
        </w:rPr>
      </w:pPr>
      <w:r>
        <w:rPr>
          <w:rFonts w:hint="eastAsia" w:ascii="楷体" w:hAnsi="楷体" w:eastAsia="楷体" w:cs="楷体"/>
          <w:color w:val="auto"/>
          <w:sz w:val="30"/>
          <w:szCs w:val="30"/>
        </w:rPr>
        <w:t>5.</w:t>
      </w:r>
      <w:r>
        <w:rPr>
          <w:rFonts w:hint="eastAsia" w:ascii="楷体" w:hAnsi="楷体" w:eastAsia="楷体" w:cs="楷体"/>
          <w:color w:val="auto"/>
          <w:sz w:val="30"/>
          <w:szCs w:val="30"/>
          <w:lang w:val="zh-CN"/>
        </w:rPr>
        <w:t>验收及标准</w:t>
      </w:r>
    </w:p>
    <w:p w14:paraId="66E8E77C">
      <w:pPr>
        <w:pStyle w:val="9"/>
        <w:tabs>
          <w:tab w:val="left" w:pos="540"/>
        </w:tabs>
        <w:snapToGrid w:val="0"/>
        <w:spacing w:line="360" w:lineRule="auto"/>
        <w:ind w:firstLine="600" w:firstLineChars="200"/>
        <w:rPr>
          <w:rFonts w:hint="eastAsia" w:ascii="楷体" w:hAnsi="楷体" w:eastAsia="楷体" w:cs="楷体"/>
          <w:color w:val="auto"/>
          <w:sz w:val="30"/>
          <w:szCs w:val="30"/>
          <w:lang w:val="zh-CN"/>
        </w:rPr>
      </w:pPr>
      <w:r>
        <w:rPr>
          <w:rFonts w:hint="eastAsia" w:ascii="楷体" w:hAnsi="楷体" w:eastAsia="楷体" w:cs="楷体"/>
          <w:color w:val="auto"/>
          <w:sz w:val="30"/>
          <w:szCs w:val="30"/>
          <w:lang w:val="zh-CN"/>
        </w:rPr>
        <w:t>采购人收到供应商项目验收建议之日起</w:t>
      </w:r>
      <w:r>
        <w:rPr>
          <w:rFonts w:hint="eastAsia" w:ascii="楷体" w:hAnsi="楷体" w:eastAsia="楷体" w:cs="楷体"/>
          <w:color w:val="auto"/>
          <w:sz w:val="30"/>
          <w:szCs w:val="30"/>
        </w:rPr>
        <w:t>10个工作</w:t>
      </w:r>
      <w:r>
        <w:rPr>
          <w:rFonts w:hint="eastAsia" w:ascii="楷体" w:hAnsi="楷体" w:eastAsia="楷体" w:cs="楷体"/>
          <w:color w:val="auto"/>
          <w:sz w:val="30"/>
          <w:szCs w:val="30"/>
          <w:lang w:val="zh-CN"/>
        </w:rPr>
        <w:t>日内按照合同的约定对履约情况进行验收，对每一项技术、服务、安全标准的履约情况进行确认。</w:t>
      </w:r>
    </w:p>
    <w:p w14:paraId="10057C95">
      <w:pPr>
        <w:rPr>
          <w:rFonts w:hint="eastAsia" w:ascii="楷体" w:hAnsi="楷体" w:eastAsia="楷体"/>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Microsoft JhengHei UI Light">
    <w:panose1 w:val="020B0304030504040204"/>
    <w:charset w:val="88"/>
    <w:family w:val="swiss"/>
    <w:pitch w:val="default"/>
    <w:sig w:usb0="8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348F3"/>
    <w:multiLevelType w:val="singleLevel"/>
    <w:tmpl w:val="9FA348F3"/>
    <w:lvl w:ilvl="0" w:tentative="0">
      <w:start w:val="1"/>
      <w:numFmt w:val="decimal"/>
      <w:suff w:val="nothing"/>
      <w:lvlText w:val="（%1）"/>
      <w:lvlJc w:val="left"/>
      <w:pPr>
        <w:ind w:left="0" w:firstLine="0"/>
      </w:pPr>
    </w:lvl>
  </w:abstractNum>
  <w:abstractNum w:abstractNumId="1">
    <w:nsid w:val="02B46BC2"/>
    <w:multiLevelType w:val="multilevel"/>
    <w:tmpl w:val="02B46B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97401A8"/>
    <w:multiLevelType w:val="multilevel"/>
    <w:tmpl w:val="297401A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A093813"/>
    <w:multiLevelType w:val="multilevel"/>
    <w:tmpl w:val="3A093813"/>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zOGNlNjJjMzY5NDdlNzY4NjVhMmNmYWE2NDZiZjMifQ=="/>
  </w:docVars>
  <w:rsids>
    <w:rsidRoot w:val="00F14B4C"/>
    <w:rsid w:val="0001315F"/>
    <w:rsid w:val="000533B0"/>
    <w:rsid w:val="00097E6F"/>
    <w:rsid w:val="000E1A8B"/>
    <w:rsid w:val="00114B13"/>
    <w:rsid w:val="00144C0D"/>
    <w:rsid w:val="00157C9D"/>
    <w:rsid w:val="00176038"/>
    <w:rsid w:val="001C1530"/>
    <w:rsid w:val="001C32DB"/>
    <w:rsid w:val="001F6FA8"/>
    <w:rsid w:val="00233012"/>
    <w:rsid w:val="00236BE9"/>
    <w:rsid w:val="00246A0A"/>
    <w:rsid w:val="00250019"/>
    <w:rsid w:val="00254BD0"/>
    <w:rsid w:val="00262F79"/>
    <w:rsid w:val="00263C86"/>
    <w:rsid w:val="00273DF4"/>
    <w:rsid w:val="002747A0"/>
    <w:rsid w:val="00281BC9"/>
    <w:rsid w:val="00291CA5"/>
    <w:rsid w:val="002A4E46"/>
    <w:rsid w:val="002B2190"/>
    <w:rsid w:val="002F3513"/>
    <w:rsid w:val="00315E90"/>
    <w:rsid w:val="00375563"/>
    <w:rsid w:val="003978DD"/>
    <w:rsid w:val="003C08F4"/>
    <w:rsid w:val="003C4E87"/>
    <w:rsid w:val="003C5097"/>
    <w:rsid w:val="003C588D"/>
    <w:rsid w:val="003E1B17"/>
    <w:rsid w:val="00462B72"/>
    <w:rsid w:val="00470841"/>
    <w:rsid w:val="00474B98"/>
    <w:rsid w:val="00487976"/>
    <w:rsid w:val="004A4D9F"/>
    <w:rsid w:val="004B3DE8"/>
    <w:rsid w:val="004C761C"/>
    <w:rsid w:val="004D6830"/>
    <w:rsid w:val="004F3241"/>
    <w:rsid w:val="0054543E"/>
    <w:rsid w:val="005558C8"/>
    <w:rsid w:val="00563A57"/>
    <w:rsid w:val="00587D32"/>
    <w:rsid w:val="005D4AAC"/>
    <w:rsid w:val="005E1849"/>
    <w:rsid w:val="005E3550"/>
    <w:rsid w:val="006078AD"/>
    <w:rsid w:val="006256DB"/>
    <w:rsid w:val="00657EED"/>
    <w:rsid w:val="00671B9D"/>
    <w:rsid w:val="006A5253"/>
    <w:rsid w:val="006C3715"/>
    <w:rsid w:val="006D0522"/>
    <w:rsid w:val="006D2C1C"/>
    <w:rsid w:val="006D510A"/>
    <w:rsid w:val="006E407F"/>
    <w:rsid w:val="006F0ADA"/>
    <w:rsid w:val="007327CC"/>
    <w:rsid w:val="00742C1D"/>
    <w:rsid w:val="00742DB6"/>
    <w:rsid w:val="00762E6E"/>
    <w:rsid w:val="007864AD"/>
    <w:rsid w:val="007A4A82"/>
    <w:rsid w:val="007B4D70"/>
    <w:rsid w:val="007D4D23"/>
    <w:rsid w:val="007E43E2"/>
    <w:rsid w:val="0080439C"/>
    <w:rsid w:val="00840695"/>
    <w:rsid w:val="008616B2"/>
    <w:rsid w:val="00861C5C"/>
    <w:rsid w:val="00874D2D"/>
    <w:rsid w:val="008904DA"/>
    <w:rsid w:val="008A4EB2"/>
    <w:rsid w:val="008B05ED"/>
    <w:rsid w:val="008B4EEC"/>
    <w:rsid w:val="008D0030"/>
    <w:rsid w:val="008E3C00"/>
    <w:rsid w:val="008E79A0"/>
    <w:rsid w:val="0093352E"/>
    <w:rsid w:val="00936EF3"/>
    <w:rsid w:val="00986BB5"/>
    <w:rsid w:val="0098767F"/>
    <w:rsid w:val="009A1347"/>
    <w:rsid w:val="009A1440"/>
    <w:rsid w:val="009C4043"/>
    <w:rsid w:val="00A06FD1"/>
    <w:rsid w:val="00A10CCD"/>
    <w:rsid w:val="00AC401C"/>
    <w:rsid w:val="00B2218D"/>
    <w:rsid w:val="00B51806"/>
    <w:rsid w:val="00B62FDA"/>
    <w:rsid w:val="00B71DCA"/>
    <w:rsid w:val="00BA1855"/>
    <w:rsid w:val="00BA27DA"/>
    <w:rsid w:val="00BD4543"/>
    <w:rsid w:val="00BD56FC"/>
    <w:rsid w:val="00BE4DFD"/>
    <w:rsid w:val="00C0645B"/>
    <w:rsid w:val="00C2261D"/>
    <w:rsid w:val="00C731B4"/>
    <w:rsid w:val="00C762A8"/>
    <w:rsid w:val="00C76AEC"/>
    <w:rsid w:val="00C831AE"/>
    <w:rsid w:val="00C838ED"/>
    <w:rsid w:val="00C90C11"/>
    <w:rsid w:val="00CC2C84"/>
    <w:rsid w:val="00CD5208"/>
    <w:rsid w:val="00CE4341"/>
    <w:rsid w:val="00D07CE0"/>
    <w:rsid w:val="00D149AF"/>
    <w:rsid w:val="00D2084F"/>
    <w:rsid w:val="00D40849"/>
    <w:rsid w:val="00D4798D"/>
    <w:rsid w:val="00D50051"/>
    <w:rsid w:val="00D54916"/>
    <w:rsid w:val="00D81C4D"/>
    <w:rsid w:val="00D93322"/>
    <w:rsid w:val="00DA7707"/>
    <w:rsid w:val="00DB2E45"/>
    <w:rsid w:val="00DB6A41"/>
    <w:rsid w:val="00DC0F14"/>
    <w:rsid w:val="00DE3C55"/>
    <w:rsid w:val="00DE777D"/>
    <w:rsid w:val="00DF062C"/>
    <w:rsid w:val="00E06A98"/>
    <w:rsid w:val="00E23990"/>
    <w:rsid w:val="00E25CDB"/>
    <w:rsid w:val="00EB3BE0"/>
    <w:rsid w:val="00EB62BF"/>
    <w:rsid w:val="00EE2063"/>
    <w:rsid w:val="00EE7A87"/>
    <w:rsid w:val="00F018A7"/>
    <w:rsid w:val="00F14B4C"/>
    <w:rsid w:val="00F2538C"/>
    <w:rsid w:val="00F33BCC"/>
    <w:rsid w:val="00F40CD4"/>
    <w:rsid w:val="00F47FC9"/>
    <w:rsid w:val="00F562C7"/>
    <w:rsid w:val="00F7304F"/>
    <w:rsid w:val="00F74727"/>
    <w:rsid w:val="00FA1B53"/>
    <w:rsid w:val="00FA7E1F"/>
    <w:rsid w:val="00FE7B2B"/>
    <w:rsid w:val="00FF1D89"/>
    <w:rsid w:val="00FF532B"/>
    <w:rsid w:val="033F12FB"/>
    <w:rsid w:val="03C87184"/>
    <w:rsid w:val="0C2835D4"/>
    <w:rsid w:val="10B91A68"/>
    <w:rsid w:val="11934E44"/>
    <w:rsid w:val="153C3591"/>
    <w:rsid w:val="172C5FE1"/>
    <w:rsid w:val="18B20952"/>
    <w:rsid w:val="1EB30BA5"/>
    <w:rsid w:val="1EB42C56"/>
    <w:rsid w:val="1F734C98"/>
    <w:rsid w:val="22F53F42"/>
    <w:rsid w:val="23AB2466"/>
    <w:rsid w:val="23AD1CA1"/>
    <w:rsid w:val="24F42FB4"/>
    <w:rsid w:val="257F4A88"/>
    <w:rsid w:val="25C5069A"/>
    <w:rsid w:val="2A500E4A"/>
    <w:rsid w:val="2CE360EB"/>
    <w:rsid w:val="2FED793B"/>
    <w:rsid w:val="367B72A2"/>
    <w:rsid w:val="377F7869"/>
    <w:rsid w:val="3D3C4D23"/>
    <w:rsid w:val="40CA4438"/>
    <w:rsid w:val="40D5155C"/>
    <w:rsid w:val="45477928"/>
    <w:rsid w:val="45AE0219"/>
    <w:rsid w:val="48962759"/>
    <w:rsid w:val="48F83BBA"/>
    <w:rsid w:val="4AED1D49"/>
    <w:rsid w:val="4BD005A5"/>
    <w:rsid w:val="500D6E70"/>
    <w:rsid w:val="50390738"/>
    <w:rsid w:val="571075D7"/>
    <w:rsid w:val="5D1A7281"/>
    <w:rsid w:val="5F123D53"/>
    <w:rsid w:val="5F3A12A4"/>
    <w:rsid w:val="61332BEC"/>
    <w:rsid w:val="6182258A"/>
    <w:rsid w:val="62025E6A"/>
    <w:rsid w:val="63C965B4"/>
    <w:rsid w:val="6458423B"/>
    <w:rsid w:val="65F22A89"/>
    <w:rsid w:val="6C521CA1"/>
    <w:rsid w:val="6F543739"/>
    <w:rsid w:val="711B5983"/>
    <w:rsid w:val="71407B71"/>
    <w:rsid w:val="75F675D2"/>
    <w:rsid w:val="771A70C1"/>
    <w:rsid w:val="774D25FF"/>
    <w:rsid w:val="78614F22"/>
    <w:rsid w:val="78745581"/>
    <w:rsid w:val="79980E42"/>
    <w:rsid w:val="7A253C28"/>
    <w:rsid w:val="7BB30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5">
    <w:name w:val="heading 2"/>
    <w:basedOn w:val="1"/>
    <w:next w:val="1"/>
    <w:autoRedefine/>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autoRedefine/>
    <w:qFormat/>
    <w:uiPriority w:val="0"/>
    <w:pPr>
      <w:keepNext/>
      <w:outlineLvl w:val="2"/>
    </w:pPr>
    <w:rPr>
      <w:rFonts w:ascii="楷体_GB2312" w:hAnsi="宋体" w:eastAsia="黑体"/>
      <w:b/>
      <w:bCs/>
      <w:sz w:val="32"/>
    </w:rPr>
  </w:style>
  <w:style w:type="paragraph" w:styleId="7">
    <w:name w:val="heading 4"/>
    <w:basedOn w:val="1"/>
    <w:next w:val="1"/>
    <w:autoRedefine/>
    <w:semiHidden/>
    <w:unhideWhenUsed/>
    <w:qFormat/>
    <w:uiPriority w:val="9"/>
    <w:pPr>
      <w:spacing w:beforeAutospacing="1" w:afterAutospacing="1"/>
      <w:jc w:val="left"/>
      <w:outlineLvl w:val="3"/>
    </w:pPr>
    <w:rPr>
      <w:rFonts w:hint="eastAsia" w:ascii="宋体" w:hAnsi="宋体" w:eastAsia="宋体" w:cs="Times New Roman"/>
      <w:b/>
      <w:bCs/>
      <w:kern w:val="0"/>
      <w:sz w:val="24"/>
    </w:rPr>
  </w:style>
  <w:style w:type="character" w:default="1" w:styleId="20">
    <w:name w:val="Default Paragraph Font"/>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2">
    <w:name w:val="Body Text"/>
    <w:basedOn w:val="1"/>
    <w:next w:val="3"/>
    <w:autoRedefine/>
    <w:qFormat/>
    <w:uiPriority w:val="0"/>
    <w:pPr>
      <w:spacing w:line="360" w:lineRule="auto"/>
    </w:pPr>
    <w:rPr>
      <w:szCs w:val="20"/>
    </w:rPr>
  </w:style>
  <w:style w:type="paragraph" w:styleId="3">
    <w:name w:val="Subtitle"/>
    <w:basedOn w:val="1"/>
    <w:next w:val="1"/>
    <w:qFormat/>
    <w:uiPriority w:val="0"/>
    <w:pPr>
      <w:spacing w:before="240" w:after="60" w:line="312" w:lineRule="auto"/>
      <w:jc w:val="center"/>
      <w:outlineLvl w:val="1"/>
    </w:pPr>
    <w:rPr>
      <w:rFonts w:ascii="Arial" w:hAnsi="Arial" w:cs="Arial"/>
      <w:b/>
      <w:bCs/>
      <w:kern w:val="28"/>
      <w:szCs w:val="32"/>
    </w:rPr>
  </w:style>
  <w:style w:type="paragraph" w:styleId="8">
    <w:name w:val="annotation text"/>
    <w:basedOn w:val="1"/>
    <w:link w:val="34"/>
    <w:autoRedefine/>
    <w:unhideWhenUsed/>
    <w:qFormat/>
    <w:uiPriority w:val="99"/>
    <w:pPr>
      <w:jc w:val="left"/>
    </w:pPr>
  </w:style>
  <w:style w:type="paragraph" w:styleId="9">
    <w:name w:val="Plain Text"/>
    <w:basedOn w:val="1"/>
    <w:link w:val="59"/>
    <w:autoRedefine/>
    <w:qFormat/>
    <w:uiPriority w:val="99"/>
    <w:rPr>
      <w:rFonts w:ascii="宋体" w:hAnsi="Courier New" w:eastAsia="宋体" w:cs="Times New Roman"/>
      <w:kern w:val="0"/>
      <w:sz w:val="20"/>
      <w:szCs w:val="21"/>
    </w:rPr>
  </w:style>
  <w:style w:type="paragraph" w:styleId="10">
    <w:name w:val="endnote text"/>
    <w:basedOn w:val="1"/>
    <w:link w:val="57"/>
    <w:qFormat/>
    <w:uiPriority w:val="0"/>
    <w:pPr>
      <w:snapToGrid w:val="0"/>
      <w:jc w:val="left"/>
    </w:pPr>
    <w:rPr>
      <w:rFonts w:ascii="宋体" w:hAnsi="宋体" w:eastAsia="宋体" w:cs="Times New Roman"/>
      <w:kern w:val="0"/>
      <w:sz w:val="28"/>
    </w:rPr>
  </w:style>
  <w:style w:type="paragraph" w:styleId="11">
    <w:name w:val="Balloon Text"/>
    <w:basedOn w:val="1"/>
    <w:link w:val="36"/>
    <w:semiHidden/>
    <w:unhideWhenUsed/>
    <w:qFormat/>
    <w:uiPriority w:val="99"/>
    <w:rPr>
      <w:sz w:val="18"/>
      <w:szCs w:val="18"/>
    </w:rPr>
  </w:style>
  <w:style w:type="paragraph" w:styleId="12">
    <w:name w:val="footer"/>
    <w:basedOn w:val="1"/>
    <w:link w:val="29"/>
    <w:unhideWhenUsed/>
    <w:qFormat/>
    <w:uiPriority w:val="99"/>
    <w:pPr>
      <w:tabs>
        <w:tab w:val="center" w:pos="4153"/>
        <w:tab w:val="right" w:pos="8306"/>
      </w:tabs>
      <w:snapToGrid w:val="0"/>
      <w:jc w:val="left"/>
    </w:pPr>
    <w:rPr>
      <w:sz w:val="18"/>
      <w:szCs w:val="18"/>
    </w:rPr>
  </w:style>
  <w:style w:type="paragraph" w:styleId="13">
    <w:name w:val="envelope return"/>
    <w:basedOn w:val="1"/>
    <w:autoRedefine/>
    <w:qFormat/>
    <w:uiPriority w:val="0"/>
    <w:pPr>
      <w:snapToGrid w:val="0"/>
    </w:pPr>
    <w:rPr>
      <w:rFonts w:ascii="Arial" w:hAnsi="Arial"/>
    </w:rPr>
  </w:style>
  <w:style w:type="paragraph" w:styleId="14">
    <w:name w:val="header"/>
    <w:basedOn w:val="1"/>
    <w:link w:val="2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0"/>
  </w:style>
  <w:style w:type="paragraph" w:styleId="16">
    <w:name w:val="Normal (Web)"/>
    <w:basedOn w:val="1"/>
    <w:autoRedefine/>
    <w:semiHidden/>
    <w:unhideWhenUsed/>
    <w:qFormat/>
    <w:uiPriority w:val="99"/>
    <w:pPr>
      <w:spacing w:beforeAutospacing="1" w:afterAutospacing="1"/>
      <w:jc w:val="left"/>
    </w:pPr>
    <w:rPr>
      <w:rFonts w:cs="Times New Roman"/>
      <w:kern w:val="0"/>
      <w:sz w:val="24"/>
    </w:rPr>
  </w:style>
  <w:style w:type="paragraph" w:styleId="17">
    <w:name w:val="annotation subject"/>
    <w:basedOn w:val="8"/>
    <w:next w:val="8"/>
    <w:link w:val="35"/>
    <w:semiHidden/>
    <w:unhideWhenUsed/>
    <w:qFormat/>
    <w:uiPriority w:val="99"/>
    <w:rPr>
      <w:b/>
      <w:bCs/>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autoRedefine/>
    <w:qFormat/>
    <w:uiPriority w:val="22"/>
    <w:rPr>
      <w:b/>
    </w:rPr>
  </w:style>
  <w:style w:type="character" w:styleId="22">
    <w:name w:val="Emphasis"/>
    <w:basedOn w:val="20"/>
    <w:autoRedefine/>
    <w:qFormat/>
    <w:uiPriority w:val="20"/>
    <w:rPr>
      <w:i/>
    </w:rPr>
  </w:style>
  <w:style w:type="character" w:styleId="23">
    <w:name w:val="Hyperlink"/>
    <w:qFormat/>
    <w:uiPriority w:val="0"/>
    <w:rPr>
      <w:color w:val="0000FF"/>
      <w:u w:val="single"/>
    </w:rPr>
  </w:style>
  <w:style w:type="character" w:styleId="24">
    <w:name w:val="annotation reference"/>
    <w:basedOn w:val="20"/>
    <w:autoRedefine/>
    <w:semiHidden/>
    <w:unhideWhenUsed/>
    <w:qFormat/>
    <w:uiPriority w:val="99"/>
    <w:rPr>
      <w:sz w:val="21"/>
      <w:szCs w:val="21"/>
    </w:rPr>
  </w:style>
  <w:style w:type="paragraph" w:customStyle="1" w:styleId="25">
    <w:name w:val="表格文字"/>
    <w:basedOn w:val="26"/>
    <w:next w:val="2"/>
    <w:qFormat/>
    <w:uiPriority w:val="0"/>
    <w:pPr>
      <w:spacing w:before="25" w:after="25"/>
      <w:jc w:val="left"/>
    </w:pPr>
    <w:rPr>
      <w:bCs/>
      <w:spacing w:val="10"/>
      <w:sz w:val="24"/>
      <w:szCs w:val="20"/>
    </w:rPr>
  </w:style>
  <w:style w:type="paragraph" w:customStyle="1" w:styleId="26">
    <w:name w:val="表格文字（两侧对齐）"/>
    <w:basedOn w:val="1"/>
    <w:autoRedefine/>
    <w:qFormat/>
    <w:uiPriority w:val="0"/>
    <w:pPr>
      <w:snapToGrid w:val="0"/>
    </w:pPr>
    <w:rPr>
      <w:rFonts w:ascii="Calibri" w:hAnsi="Calibri" w:cs="Times New Roman"/>
      <w:kern w:val="0"/>
      <w:sz w:val="20"/>
    </w:rPr>
  </w:style>
  <w:style w:type="paragraph" w:customStyle="1" w:styleId="27">
    <w:name w:val="_Style 3"/>
    <w:basedOn w:val="1"/>
    <w:qFormat/>
    <w:uiPriority w:val="0"/>
    <w:pPr>
      <w:ind w:firstLine="420" w:firstLineChars="200"/>
    </w:pPr>
    <w:rPr>
      <w:sz w:val="20"/>
    </w:rPr>
  </w:style>
  <w:style w:type="character" w:customStyle="1" w:styleId="28">
    <w:name w:val="页眉 字符"/>
    <w:basedOn w:val="20"/>
    <w:link w:val="14"/>
    <w:autoRedefine/>
    <w:qFormat/>
    <w:uiPriority w:val="99"/>
    <w:rPr>
      <w:sz w:val="18"/>
      <w:szCs w:val="18"/>
    </w:rPr>
  </w:style>
  <w:style w:type="character" w:customStyle="1" w:styleId="29">
    <w:name w:val="页脚 字符"/>
    <w:basedOn w:val="20"/>
    <w:link w:val="12"/>
    <w:qFormat/>
    <w:uiPriority w:val="99"/>
    <w:rPr>
      <w:sz w:val="18"/>
      <w:szCs w:val="18"/>
    </w:rPr>
  </w:style>
  <w:style w:type="table" w:customStyle="1" w:styleId="30">
    <w:name w:val="网格型1"/>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
    <w:name w:val="ca-32"/>
    <w:qFormat/>
    <w:uiPriority w:val="0"/>
  </w:style>
  <w:style w:type="paragraph" w:styleId="32">
    <w:name w:val="List Paragraph"/>
    <w:basedOn w:val="1"/>
    <w:qFormat/>
    <w:uiPriority w:val="34"/>
    <w:pPr>
      <w:ind w:firstLine="420" w:firstLineChars="200"/>
    </w:pPr>
    <w:rPr>
      <w:rFonts w:ascii="Times New Roman" w:hAnsi="Times New Roman" w:eastAsia="宋体" w:cs="Times New Roman"/>
      <w:szCs w:val="20"/>
    </w:rPr>
  </w:style>
  <w:style w:type="paragraph" w:customStyle="1" w:styleId="33">
    <w:name w:val="列表段落1"/>
    <w:basedOn w:val="1"/>
    <w:autoRedefine/>
    <w:qFormat/>
    <w:uiPriority w:val="34"/>
    <w:pPr>
      <w:ind w:firstLine="420" w:firstLineChars="200"/>
    </w:pPr>
    <w:rPr>
      <w:rFonts w:ascii="Times New Roman" w:hAnsi="Times New Roman" w:eastAsia="宋体" w:cs="Times New Roman"/>
      <w:szCs w:val="20"/>
    </w:rPr>
  </w:style>
  <w:style w:type="character" w:customStyle="1" w:styleId="34">
    <w:name w:val="批注文字 字符"/>
    <w:basedOn w:val="20"/>
    <w:link w:val="8"/>
    <w:qFormat/>
    <w:uiPriority w:val="99"/>
    <w:rPr>
      <w:szCs w:val="24"/>
    </w:rPr>
  </w:style>
  <w:style w:type="character" w:customStyle="1" w:styleId="35">
    <w:name w:val="批注主题 字符"/>
    <w:basedOn w:val="34"/>
    <w:link w:val="17"/>
    <w:semiHidden/>
    <w:qFormat/>
    <w:uiPriority w:val="99"/>
    <w:rPr>
      <w:b/>
      <w:bCs/>
      <w:szCs w:val="24"/>
    </w:rPr>
  </w:style>
  <w:style w:type="character" w:customStyle="1" w:styleId="36">
    <w:name w:val="批注框文本 字符"/>
    <w:basedOn w:val="20"/>
    <w:link w:val="11"/>
    <w:semiHidden/>
    <w:qFormat/>
    <w:uiPriority w:val="99"/>
    <w:rPr>
      <w:sz w:val="18"/>
      <w:szCs w:val="18"/>
    </w:rPr>
  </w:style>
  <w:style w:type="table" w:customStyle="1" w:styleId="37">
    <w:name w:val="网格型2"/>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8">
    <w:name w:val="网格型3"/>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
    <w:name w:val="网格型4"/>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0">
    <w:name w:val="网格型5"/>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
    <w:name w:val="网格型6"/>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网格型7"/>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
    <w:name w:val="网格型8"/>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9"/>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10"/>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
    <w:name w:val="网格型11"/>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
    <w:name w:val="网格型12"/>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
    <w:name w:val="网格型13"/>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
    <w:name w:val="网格型14"/>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5"/>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6"/>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7"/>
    <w:basedOn w:val="1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无格式表格 21"/>
    <w:basedOn w:val="18"/>
    <w:autoRedefine/>
    <w:qFormat/>
    <w:uiPriority w:val="42"/>
    <w:tblPr>
      <w:tblBorders>
        <w:top w:val="single" w:color="7E7E7E" w:sz="4" w:space="0"/>
        <w:bottom w:val="single" w:color="7E7E7E" w:sz="4" w:space="0"/>
      </w:tblBorders>
    </w:tblPr>
    <w:tblStylePr w:type="firstRow">
      <w:rPr>
        <w:b/>
        <w:bCs/>
      </w:rPr>
      <w:tcPr>
        <w:tcBorders>
          <w:top w:val="nil"/>
          <w:left w:val="nil"/>
          <w:bottom w:val="single" w:color="7E7E7E" w:sz="4" w:space="0"/>
          <w:right w:val="nil"/>
          <w:insideH w:val="nil"/>
          <w:insideV w:val="nil"/>
          <w:tl2br w:val="nil"/>
          <w:tr2bl w:val="nil"/>
        </w:tcBorders>
      </w:tcPr>
    </w:tblStylePr>
    <w:tblStylePr w:type="lastRow">
      <w:rPr>
        <w:b/>
        <w:bCs/>
      </w:rPr>
      <w:tcPr>
        <w:tcBorders>
          <w:top w:val="single" w:color="7E7E7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single" w:color="7E7E7E" w:sz="4" w:space="0"/>
          <w:bottom w:val="nil"/>
          <w:right w:val="single" w:color="7E7E7E" w:sz="4" w:space="0"/>
          <w:insideH w:val="nil"/>
          <w:insideV w:val="nil"/>
          <w:tl2br w:val="nil"/>
          <w:tr2bl w:val="nil"/>
        </w:tcBorders>
      </w:tcPr>
    </w:tblStylePr>
    <w:tblStylePr w:type="band2Vert">
      <w:tcPr>
        <w:tcBorders>
          <w:top w:val="nil"/>
          <w:left w:val="single" w:color="7E7E7E" w:sz="4" w:space="0"/>
          <w:bottom w:val="nil"/>
          <w:right w:val="single" w:color="7E7E7E" w:sz="4" w:space="0"/>
          <w:insideH w:val="nil"/>
          <w:insideV w:val="nil"/>
          <w:tl2br w:val="nil"/>
          <w:tr2bl w:val="nil"/>
        </w:tcBorders>
      </w:tcPr>
    </w:tblStylePr>
    <w:tblStylePr w:type="band1Horz">
      <w:tcPr>
        <w:tcBorders>
          <w:top w:val="single" w:color="7E7E7E" w:sz="4" w:space="0"/>
          <w:left w:val="nil"/>
          <w:bottom w:val="single" w:color="7E7E7E" w:sz="4" w:space="0"/>
          <w:right w:val="nil"/>
          <w:insideH w:val="nil"/>
          <w:insideV w:val="nil"/>
          <w:tl2br w:val="nil"/>
          <w:tr2bl w:val="nil"/>
        </w:tcBorders>
      </w:tcPr>
    </w:tblStylePr>
  </w:style>
  <w:style w:type="character" w:customStyle="1" w:styleId="54">
    <w:name w:val="font11"/>
    <w:basedOn w:val="20"/>
    <w:qFormat/>
    <w:uiPriority w:val="0"/>
    <w:rPr>
      <w:rFonts w:hint="eastAsia" w:ascii="楷体" w:hAnsi="楷体" w:eastAsia="楷体"/>
      <w:color w:val="000000"/>
      <w:sz w:val="30"/>
      <w:szCs w:val="30"/>
      <w:u w:val="none"/>
    </w:rPr>
  </w:style>
  <w:style w:type="character" w:customStyle="1" w:styleId="55">
    <w:name w:val="font01"/>
    <w:basedOn w:val="20"/>
    <w:qFormat/>
    <w:uiPriority w:val="0"/>
    <w:rPr>
      <w:rFonts w:hint="default" w:ascii="Calibri" w:hAnsi="Calibri" w:cs="Calibri"/>
      <w:color w:val="000000"/>
      <w:sz w:val="22"/>
      <w:szCs w:val="22"/>
      <w:u w:val="none"/>
    </w:rPr>
  </w:style>
  <w:style w:type="character" w:customStyle="1" w:styleId="56">
    <w:name w:val="font21"/>
    <w:basedOn w:val="20"/>
    <w:qFormat/>
    <w:uiPriority w:val="0"/>
    <w:rPr>
      <w:rFonts w:hint="eastAsia" w:ascii="宋体" w:hAnsi="宋体" w:eastAsia="宋体"/>
      <w:color w:val="000000"/>
      <w:sz w:val="22"/>
      <w:szCs w:val="22"/>
      <w:u w:val="none"/>
    </w:rPr>
  </w:style>
  <w:style w:type="character" w:customStyle="1" w:styleId="57">
    <w:name w:val="尾注文本 字符"/>
    <w:basedOn w:val="20"/>
    <w:link w:val="10"/>
    <w:autoRedefine/>
    <w:qFormat/>
    <w:uiPriority w:val="0"/>
    <w:rPr>
      <w:rFonts w:ascii="宋体" w:hAnsi="宋体"/>
      <w:sz w:val="28"/>
      <w:szCs w:val="24"/>
    </w:rPr>
  </w:style>
  <w:style w:type="paragraph" w:customStyle="1" w:styleId="58">
    <w:name w:val="正文正"/>
    <w:basedOn w:val="1"/>
    <w:qFormat/>
    <w:uiPriority w:val="0"/>
    <w:pPr>
      <w:autoSpaceDE w:val="0"/>
      <w:autoSpaceDN w:val="0"/>
      <w:adjustRightInd w:val="0"/>
      <w:spacing w:line="560" w:lineRule="exact"/>
      <w:ind w:firstLine="561"/>
      <w:jc w:val="left"/>
    </w:pPr>
    <w:rPr>
      <w:rFonts w:ascii="Calibri" w:hAnsi="Calibri" w:eastAsia="宋体" w:cs="Times New Roman"/>
      <w:kern w:val="0"/>
      <w:sz w:val="28"/>
      <w:szCs w:val="28"/>
    </w:rPr>
  </w:style>
  <w:style w:type="character" w:customStyle="1" w:styleId="59">
    <w:name w:val="纯文本 字符"/>
    <w:basedOn w:val="20"/>
    <w:link w:val="9"/>
    <w:autoRedefine/>
    <w:qFormat/>
    <w:uiPriority w:val="0"/>
    <w:rPr>
      <w:rFonts w:ascii="宋体" w:hAnsi="Courier New"/>
      <w:szCs w:val="21"/>
    </w:rPr>
  </w:style>
  <w:style w:type="paragraph" w:customStyle="1" w:styleId="60">
    <w:name w:val="正文 A"/>
    <w:qFormat/>
    <w:uiPriority w:val="0"/>
    <w:pPr>
      <w:widowControl w:val="0"/>
    </w:pPr>
    <w:rPr>
      <w:rFonts w:ascii="Microsoft JhengHei UI Light" w:hAnsi="Microsoft JhengHei UI Light" w:eastAsia="Microsoft JhengHei UI Light" w:cs="Microsoft JhengHei UI Light"/>
      <w:color w:val="000000"/>
      <w:sz w:val="22"/>
      <w:szCs w:val="22"/>
      <w:lang w:val="en-US" w:eastAsia="zh-CN" w:bidi="ar-SA"/>
    </w:rPr>
  </w:style>
  <w:style w:type="paragraph" w:customStyle="1" w:styleId="61">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62">
    <w:name w:val="No Spacing"/>
    <w:autoRedefine/>
    <w:qFormat/>
    <w:uiPriority w:val="99"/>
    <w:rPr>
      <w:rFonts w:ascii="Times New Roman" w:hAnsi="Times New Roman" w:eastAsia="宋体" w:cs="Calibri"/>
      <w:sz w:val="22"/>
      <w:szCs w:val="22"/>
      <w:lang w:val="en-US" w:eastAsia="en-US" w:bidi="ar-SA"/>
    </w:rPr>
  </w:style>
  <w:style w:type="paragraph" w:customStyle="1" w:styleId="63">
    <w:name w:val="正文_0"/>
    <w:autoRedefine/>
    <w:qFormat/>
    <w:uiPriority w:val="0"/>
    <w:pPr>
      <w:widowControl w:val="0"/>
      <w:spacing w:line="360" w:lineRule="auto"/>
      <w:ind w:firstLine="418"/>
      <w:jc w:val="both"/>
    </w:pPr>
    <w:rPr>
      <w:rFonts w:ascii="仿宋" w:hAnsi="仿宋" w:eastAsia="仿宋" w:cs="黑体"/>
      <w:kern w:val="2"/>
      <w:sz w:val="24"/>
      <w:szCs w:val="22"/>
      <w:lang w:val="en-US" w:eastAsia="zh-CN" w:bidi="ar-SA"/>
    </w:rPr>
  </w:style>
  <w:style w:type="paragraph" w:customStyle="1" w:styleId="64">
    <w:name w:val="彩色列表 - 强调文字颜色 11"/>
    <w:basedOn w:val="1"/>
    <w:autoRedefine/>
    <w:qFormat/>
    <w:uiPriority w:val="99"/>
    <w:pPr>
      <w:autoSpaceDE w:val="0"/>
      <w:autoSpaceDN w:val="0"/>
      <w:ind w:firstLine="420" w:firstLineChars="200"/>
      <w:jc w:val="left"/>
    </w:pPr>
    <w:rPr>
      <w:rFonts w:ascii="Calibri" w:hAnsi="Calibri"/>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27</Pages>
  <Words>12227</Words>
  <Characters>12589</Characters>
  <Lines>93</Lines>
  <Paragraphs>26</Paragraphs>
  <TotalTime>51</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2025-10-22T02:06:00Z</dcterms:created>
  <dc:creator>宏正</dc:creator>
  <cp:lastModifiedBy>华伦-杨立敏</cp:lastModifiedBy>
  <cp:lastPrinted>2023-08-16T03:08:00Z</cp:lastPrinted>
  <dcterms:modified xsi:type="dcterms:W3CDTF">2025-10-22T03:23:58Z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01973D1419424F8A8413189E71A7BEFC_13</vt:lpwstr>
  </property>
  <property fmtid="{D5CDD505-2E9C-101B-9397-08002B2CF9AE}" pid="4" name="KSOTemplateDocerSaveRecord">
    <vt:lpwstr>eyJoZGlkIjoiZjJlMTY5YjQ2NGMwMzBlMmQ2ODg2OGE5MDFhMDc3ZmUiLCJ1c2VySWQiOiIzMTQ1MzkzMzUifQ==</vt:lpwstr>
  </property>
</Properties>
</file>